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CCEC" w14:textId="7A054FEC" w:rsidR="007B1823" w:rsidRDefault="001B64FA">
      <w:r>
        <w:t xml:space="preserve">Draft </w:t>
      </w:r>
      <w:r w:rsidR="00CA0E08">
        <w:t>1</w:t>
      </w:r>
      <w:r w:rsidR="00235900">
        <w:t>7-10</w:t>
      </w:r>
      <w:r>
        <w:t>-19</w:t>
      </w:r>
      <w:r w:rsidR="00836F21">
        <w:tab/>
      </w:r>
      <w:r w:rsidR="00836F21">
        <w:tab/>
      </w:r>
      <w:r w:rsidR="00836F21">
        <w:tab/>
      </w:r>
      <w:r w:rsidR="00836F21">
        <w:tab/>
      </w:r>
      <w:r w:rsidR="00836F21">
        <w:tab/>
      </w:r>
      <w:r w:rsidR="00836F21">
        <w:tab/>
        <w:t>Word count 7220</w:t>
      </w:r>
    </w:p>
    <w:p w14:paraId="59394D0E" w14:textId="77777777" w:rsidR="001B64FA" w:rsidRDefault="001B64FA"/>
    <w:p w14:paraId="064DEB54" w14:textId="5CFFE171" w:rsidR="001B64FA" w:rsidRPr="00CA0E08" w:rsidRDefault="001B64FA">
      <w:pPr>
        <w:rPr>
          <w:rFonts w:asciiTheme="majorHAnsi" w:hAnsiTheme="majorHAnsi" w:cstheme="majorHAnsi"/>
          <w:sz w:val="28"/>
          <w:szCs w:val="28"/>
        </w:rPr>
      </w:pPr>
      <w:r w:rsidRPr="00CA0E08">
        <w:rPr>
          <w:rFonts w:asciiTheme="majorHAnsi" w:hAnsiTheme="majorHAnsi" w:cstheme="majorHAnsi"/>
          <w:sz w:val="28"/>
          <w:szCs w:val="28"/>
        </w:rPr>
        <w:t>Time constrain</w:t>
      </w:r>
      <w:r w:rsidR="008C579A" w:rsidRPr="00CA0E08">
        <w:rPr>
          <w:rFonts w:asciiTheme="majorHAnsi" w:hAnsiTheme="majorHAnsi" w:cstheme="majorHAnsi"/>
          <w:sz w:val="28"/>
          <w:szCs w:val="28"/>
        </w:rPr>
        <w:t>t</w:t>
      </w:r>
      <w:r w:rsidRPr="00CA0E08">
        <w:rPr>
          <w:rFonts w:asciiTheme="majorHAnsi" w:hAnsiTheme="majorHAnsi" w:cstheme="majorHAnsi"/>
          <w:sz w:val="28"/>
          <w:szCs w:val="28"/>
        </w:rPr>
        <w:t>s</w:t>
      </w:r>
      <w:r w:rsidR="008C579A" w:rsidRPr="00CA0E08">
        <w:rPr>
          <w:rFonts w:asciiTheme="majorHAnsi" w:hAnsiTheme="majorHAnsi" w:cstheme="majorHAnsi"/>
          <w:sz w:val="28"/>
          <w:szCs w:val="28"/>
        </w:rPr>
        <w:t xml:space="preserve"> and</w:t>
      </w:r>
      <w:r w:rsidRPr="00CA0E08">
        <w:rPr>
          <w:rFonts w:asciiTheme="majorHAnsi" w:hAnsiTheme="majorHAnsi" w:cstheme="majorHAnsi"/>
          <w:sz w:val="28"/>
          <w:szCs w:val="28"/>
        </w:rPr>
        <w:t xml:space="preserve"> travel behaviour</w:t>
      </w:r>
    </w:p>
    <w:p w14:paraId="7649B5CD" w14:textId="77777777" w:rsidR="001B64FA" w:rsidRDefault="001B64FA"/>
    <w:p w14:paraId="04D073D6" w14:textId="33A4380C" w:rsidR="001B64FA" w:rsidRDefault="001B64FA">
      <w:r>
        <w:t>D</w:t>
      </w:r>
      <w:r w:rsidR="00CA0E08">
        <w:t>avid Metz</w:t>
      </w:r>
    </w:p>
    <w:p w14:paraId="3E06ECF7" w14:textId="2C7773DC" w:rsidR="00CA0E08" w:rsidRDefault="00CA0E08">
      <w:r>
        <w:t>Centre for Transport Studies</w:t>
      </w:r>
    </w:p>
    <w:p w14:paraId="7DA47CE2" w14:textId="602F0BA3" w:rsidR="00CA0E08" w:rsidRDefault="00CA0E08">
      <w:r>
        <w:t>University College London</w:t>
      </w:r>
    </w:p>
    <w:p w14:paraId="07DE55A5" w14:textId="37928C68" w:rsidR="00CA0E08" w:rsidRDefault="00CA0E08">
      <w:r>
        <w:t>Gower Street, London WC1E 6BT</w:t>
      </w:r>
    </w:p>
    <w:p w14:paraId="0C213B4A" w14:textId="3D2B1BC0" w:rsidR="00CA0E08" w:rsidRDefault="00CA0E08">
      <w:r>
        <w:t>United Kingdom</w:t>
      </w:r>
    </w:p>
    <w:p w14:paraId="4BF87DAE" w14:textId="77777777" w:rsidR="001B64FA" w:rsidRDefault="001B64FA"/>
    <w:p w14:paraId="16FA6B1C" w14:textId="149BA59B" w:rsidR="001B64FA" w:rsidRPr="00833C65" w:rsidRDefault="001B64FA">
      <w:pPr>
        <w:rPr>
          <w:rFonts w:asciiTheme="majorHAnsi" w:hAnsiTheme="majorHAnsi" w:cstheme="majorHAnsi"/>
        </w:rPr>
      </w:pPr>
      <w:r w:rsidRPr="00833C65">
        <w:rPr>
          <w:rFonts w:asciiTheme="majorHAnsi" w:hAnsiTheme="majorHAnsi" w:cstheme="majorHAnsi"/>
        </w:rPr>
        <w:t>Abstract</w:t>
      </w:r>
    </w:p>
    <w:p w14:paraId="322CD784" w14:textId="7D54C33C" w:rsidR="006233AF" w:rsidRDefault="006233AF"/>
    <w:p w14:paraId="03168875" w14:textId="21A64CEA" w:rsidR="005E7414" w:rsidRDefault="005E7414">
      <w:r>
        <w:t xml:space="preserve">Considerable observational evidence indicates that travel time, averaged across a population, is stable at about an hour a day. This </w:t>
      </w:r>
      <w:r w:rsidR="003A5859">
        <w:t>implies</w:t>
      </w:r>
      <w:r>
        <w:t xml:space="preserve"> both an upper and a lower bound to time that can be expended on travel. The upper bound explains the self-limiting nature of road traffic congestion, as well as the difficulty experienced in attempting mitigation</w:t>
      </w:r>
      <w:r w:rsidR="00E86990">
        <w:t>: the prospect of delays deters some road users, who are attracted back following interventions aimed at relieving congestion.</w:t>
      </w:r>
      <w:r>
        <w:t xml:space="preserve"> The lower bound implies that time savings cannot be the main economic benefit of transport investment</w:t>
      </w:r>
      <w:r w:rsidR="00E86990">
        <w:t>, which means that conventional transport economic appraisal is misleading</w:t>
      </w:r>
      <w:r>
        <w:t>. In reality, the main benefit for users is increased access to desired destinations, made possible by faster travel</w:t>
      </w:r>
      <w:r w:rsidR="00E86990">
        <w:t>, which is the origin of induced traffic</w:t>
      </w:r>
      <w:r>
        <w:t xml:space="preserve">. Access is subject to saturation, consistent with evidence of </w:t>
      </w:r>
      <w:r w:rsidR="000E04D9">
        <w:t xml:space="preserve">travel </w:t>
      </w:r>
      <w:r>
        <w:t>demand saturation</w:t>
      </w:r>
      <w:r w:rsidR="00E86990">
        <w:t xml:space="preserve">. </w:t>
      </w:r>
      <w:r w:rsidR="00FA265D">
        <w:t>However, a</w:t>
      </w:r>
      <w:r w:rsidR="00E86990">
        <w:t>ccess is difficult to monetise for inclusion in cos</w:t>
      </w:r>
      <w:r w:rsidR="004D638B">
        <w:t>t-</w:t>
      </w:r>
      <w:r w:rsidR="00E86990">
        <w:t xml:space="preserve">benefit analysis. </w:t>
      </w:r>
      <w:r w:rsidR="00FA265D">
        <w:t>Consequential u</w:t>
      </w:r>
      <w:r w:rsidR="00E86990">
        <w:t xml:space="preserve">plift in real estate values may be a more practical way of estimating access benefits, </w:t>
      </w:r>
      <w:r w:rsidR="00FA265D">
        <w:t>which is relevant to the possibility of capturing part of such uplift to help fund transport investment that enhances such access.</w:t>
      </w:r>
      <w:r w:rsidR="00E86990">
        <w:t xml:space="preserve"> </w:t>
      </w:r>
    </w:p>
    <w:p w14:paraId="1706C5B9" w14:textId="79DBF54A" w:rsidR="00833C65" w:rsidRDefault="00833C65"/>
    <w:p w14:paraId="065E02BC" w14:textId="2FE60FBB" w:rsidR="00833C65" w:rsidRDefault="00833C65">
      <w:r>
        <w:t xml:space="preserve">Key words: </w:t>
      </w:r>
      <w:r w:rsidR="00FA265D">
        <w:t>travel time, time savings, induced traffic, access, land value, demand saturation</w:t>
      </w:r>
    </w:p>
    <w:p w14:paraId="1FEBBE0E" w14:textId="77777777" w:rsidR="001B64FA" w:rsidRDefault="001B64FA"/>
    <w:p w14:paraId="145116A6" w14:textId="77777777" w:rsidR="00F413EB" w:rsidRDefault="00F413EB">
      <w:pPr>
        <w:rPr>
          <w:rFonts w:asciiTheme="majorHAnsi" w:hAnsiTheme="majorHAnsi" w:cstheme="majorHAnsi"/>
        </w:rPr>
      </w:pPr>
    </w:p>
    <w:p w14:paraId="456084C7" w14:textId="77777777" w:rsidR="00F413EB" w:rsidRDefault="00F413EB">
      <w:pPr>
        <w:rPr>
          <w:rFonts w:asciiTheme="majorHAnsi" w:hAnsiTheme="majorHAnsi" w:cstheme="majorHAnsi"/>
        </w:rPr>
      </w:pPr>
    </w:p>
    <w:p w14:paraId="0641BF6C" w14:textId="77777777" w:rsidR="00F413EB" w:rsidRDefault="00F413EB">
      <w:pPr>
        <w:rPr>
          <w:rFonts w:asciiTheme="majorHAnsi" w:hAnsiTheme="majorHAnsi" w:cstheme="majorHAnsi"/>
        </w:rPr>
      </w:pPr>
    </w:p>
    <w:p w14:paraId="33DC9CE4" w14:textId="77777777" w:rsidR="00F413EB" w:rsidRDefault="00F413EB">
      <w:pPr>
        <w:rPr>
          <w:rFonts w:asciiTheme="majorHAnsi" w:hAnsiTheme="majorHAnsi" w:cstheme="majorHAnsi"/>
        </w:rPr>
      </w:pPr>
    </w:p>
    <w:p w14:paraId="71D09ACE" w14:textId="77777777" w:rsidR="00F413EB" w:rsidRDefault="00F413EB">
      <w:pPr>
        <w:rPr>
          <w:rFonts w:asciiTheme="majorHAnsi" w:hAnsiTheme="majorHAnsi" w:cstheme="majorHAnsi"/>
        </w:rPr>
      </w:pPr>
    </w:p>
    <w:p w14:paraId="42A731F7" w14:textId="77777777" w:rsidR="00F413EB" w:rsidRDefault="00F413EB">
      <w:pPr>
        <w:rPr>
          <w:rFonts w:asciiTheme="majorHAnsi" w:hAnsiTheme="majorHAnsi" w:cstheme="majorHAnsi"/>
        </w:rPr>
      </w:pPr>
    </w:p>
    <w:p w14:paraId="35B17E06" w14:textId="77777777" w:rsidR="00F413EB" w:rsidRDefault="00F413EB">
      <w:pPr>
        <w:rPr>
          <w:rFonts w:asciiTheme="majorHAnsi" w:hAnsiTheme="majorHAnsi" w:cstheme="majorHAnsi"/>
        </w:rPr>
      </w:pPr>
    </w:p>
    <w:p w14:paraId="2C5611DB" w14:textId="77777777" w:rsidR="00F413EB" w:rsidRDefault="00F413EB">
      <w:pPr>
        <w:rPr>
          <w:rFonts w:asciiTheme="majorHAnsi" w:hAnsiTheme="majorHAnsi" w:cstheme="majorHAnsi"/>
        </w:rPr>
      </w:pPr>
    </w:p>
    <w:p w14:paraId="46DA44E8" w14:textId="77777777" w:rsidR="00F413EB" w:rsidRDefault="00F413EB">
      <w:pPr>
        <w:rPr>
          <w:rFonts w:asciiTheme="majorHAnsi" w:hAnsiTheme="majorHAnsi" w:cstheme="majorHAnsi"/>
        </w:rPr>
      </w:pPr>
    </w:p>
    <w:p w14:paraId="0C8256AA" w14:textId="77777777" w:rsidR="00F413EB" w:rsidRDefault="00F413EB">
      <w:pPr>
        <w:rPr>
          <w:rFonts w:asciiTheme="majorHAnsi" w:hAnsiTheme="majorHAnsi" w:cstheme="majorHAnsi"/>
        </w:rPr>
      </w:pPr>
    </w:p>
    <w:p w14:paraId="58A96C24" w14:textId="77777777" w:rsidR="00F413EB" w:rsidRDefault="00F413EB">
      <w:pPr>
        <w:rPr>
          <w:rFonts w:asciiTheme="majorHAnsi" w:hAnsiTheme="majorHAnsi" w:cstheme="majorHAnsi"/>
        </w:rPr>
      </w:pPr>
    </w:p>
    <w:p w14:paraId="6C16D76B" w14:textId="77777777" w:rsidR="00F413EB" w:rsidRDefault="00F413EB">
      <w:pPr>
        <w:rPr>
          <w:rFonts w:asciiTheme="majorHAnsi" w:hAnsiTheme="majorHAnsi" w:cstheme="majorHAnsi"/>
        </w:rPr>
      </w:pPr>
    </w:p>
    <w:p w14:paraId="6784BFAE" w14:textId="77777777" w:rsidR="00F413EB" w:rsidRDefault="00F413EB">
      <w:pPr>
        <w:rPr>
          <w:rFonts w:asciiTheme="majorHAnsi" w:hAnsiTheme="majorHAnsi" w:cstheme="majorHAnsi"/>
        </w:rPr>
      </w:pPr>
    </w:p>
    <w:p w14:paraId="0E88B03E" w14:textId="77777777" w:rsidR="00F413EB" w:rsidRDefault="00F413EB">
      <w:pPr>
        <w:rPr>
          <w:rFonts w:asciiTheme="majorHAnsi" w:hAnsiTheme="majorHAnsi" w:cstheme="majorHAnsi"/>
        </w:rPr>
      </w:pPr>
    </w:p>
    <w:p w14:paraId="5B2B0EB6" w14:textId="77777777" w:rsidR="00F413EB" w:rsidRDefault="00F413EB">
      <w:pPr>
        <w:rPr>
          <w:rFonts w:asciiTheme="majorHAnsi" w:hAnsiTheme="majorHAnsi" w:cstheme="majorHAnsi"/>
        </w:rPr>
      </w:pPr>
    </w:p>
    <w:p w14:paraId="3EFB58BC" w14:textId="77777777" w:rsidR="00F413EB" w:rsidRDefault="00F413EB">
      <w:pPr>
        <w:rPr>
          <w:rFonts w:asciiTheme="majorHAnsi" w:hAnsiTheme="majorHAnsi" w:cstheme="majorHAnsi"/>
        </w:rPr>
      </w:pPr>
    </w:p>
    <w:p w14:paraId="31E6F15C" w14:textId="1DE03FC6" w:rsidR="00515E52" w:rsidRPr="00833C65" w:rsidRDefault="00515E52">
      <w:pPr>
        <w:rPr>
          <w:rFonts w:asciiTheme="majorHAnsi" w:hAnsiTheme="majorHAnsi" w:cstheme="majorHAnsi"/>
        </w:rPr>
      </w:pPr>
      <w:r w:rsidRPr="00833C65">
        <w:rPr>
          <w:rFonts w:asciiTheme="majorHAnsi" w:hAnsiTheme="majorHAnsi" w:cstheme="majorHAnsi"/>
        </w:rPr>
        <w:lastRenderedPageBreak/>
        <w:t>Introduction</w:t>
      </w:r>
    </w:p>
    <w:p w14:paraId="03C61AD6" w14:textId="77777777" w:rsidR="00515E52" w:rsidRDefault="00515E52"/>
    <w:p w14:paraId="620030FF" w14:textId="478D1AA1" w:rsidR="00515E52" w:rsidRDefault="00515E52">
      <w:r>
        <w:t>There is considerable observational data</w:t>
      </w:r>
      <w:r w:rsidR="00886E6C">
        <w:t xml:space="preserve"> indicating</w:t>
      </w:r>
      <w:r>
        <w:t xml:space="preserve"> that travel time, averaged across a population, is stable at around an hour a day. </w:t>
      </w:r>
      <w:r w:rsidR="00235900">
        <w:t>Arguably, t</w:t>
      </w:r>
      <w:r>
        <w:t xml:space="preserve">he significance of this phenomenon has been insufficiently recognised, in part because </w:t>
      </w:r>
      <w:r w:rsidR="00855616">
        <w:t xml:space="preserve">the concept of </w:t>
      </w:r>
      <w:r>
        <w:t>travel time savings</w:t>
      </w:r>
      <w:r w:rsidR="00855616">
        <w:t xml:space="preserve"> has been so central to transport economic analysis. Yet the observed invariance of average travel time raises questions about the assumptions implicit in orthodox </w:t>
      </w:r>
      <w:r w:rsidR="00BF3E06">
        <w:t xml:space="preserve">transport </w:t>
      </w:r>
      <w:r w:rsidR="00855616">
        <w:t>investment appraisal</w:t>
      </w:r>
      <w:r w:rsidR="003A5859">
        <w:t xml:space="preserve"> and modelling</w:t>
      </w:r>
      <w:r w:rsidR="00855616">
        <w:t>.</w:t>
      </w:r>
    </w:p>
    <w:p w14:paraId="3C649BC0" w14:textId="77777777" w:rsidR="00855616" w:rsidRDefault="00855616"/>
    <w:p w14:paraId="7AB7EAEA" w14:textId="028285D7" w:rsidR="00515E52" w:rsidRDefault="00855616">
      <w:r>
        <w:t xml:space="preserve">The purpose of this </w:t>
      </w:r>
      <w:r w:rsidR="00235900">
        <w:t>paper</w:t>
      </w:r>
      <w:r>
        <w:t xml:space="preserve"> is</w:t>
      </w:r>
      <w:r w:rsidR="00DB0552">
        <w:t xml:space="preserve"> to </w:t>
      </w:r>
      <w:r w:rsidR="00235900">
        <w:t>draw attention to</w:t>
      </w:r>
      <w:r w:rsidR="00DB0552">
        <w:t xml:space="preserve"> the implications</w:t>
      </w:r>
      <w:r w:rsidR="00C9275E">
        <w:t xml:space="preserve"> of travel time invariance</w:t>
      </w:r>
      <w:r w:rsidR="00DB0552">
        <w:t xml:space="preserve"> for</w:t>
      </w:r>
      <w:r w:rsidR="00ED67E9">
        <w:t xml:space="preserve"> understanding travel behaviour</w:t>
      </w:r>
      <w:r w:rsidR="00235900">
        <w:t>.</w:t>
      </w:r>
      <w:r w:rsidR="00235900" w:rsidRPr="00235900">
        <w:t xml:space="preserve"> </w:t>
      </w:r>
      <w:r w:rsidR="00235900">
        <w:t xml:space="preserve">I first summarise the empirical data on travel time and consider the explanations for the observed invariance. I </w:t>
      </w:r>
      <w:r w:rsidR="0031326E">
        <w:t>next</w:t>
      </w:r>
      <w:r w:rsidR="00235900">
        <w:t xml:space="preserve"> suggest that travel time invariance implies both upper and lower bounds to the time individuals allocate to travel, which has explanatory power for the understanding of travel</w:t>
      </w:r>
      <w:r w:rsidR="00244593">
        <w:t xml:space="preserve"> behaviour, notably the phenomenon of road traffic congestion. I </w:t>
      </w:r>
      <w:r w:rsidR="0031326E">
        <w:t xml:space="preserve">then </w:t>
      </w:r>
      <w:r w:rsidR="00244593">
        <w:t>discuss</w:t>
      </w:r>
      <w:r w:rsidR="00ED67E9">
        <w:t xml:space="preserve"> the consequences</w:t>
      </w:r>
      <w:r w:rsidR="00244593">
        <w:t xml:space="preserve"> of time invari</w:t>
      </w:r>
      <w:r w:rsidR="0031326E">
        <w:t>a</w:t>
      </w:r>
      <w:r w:rsidR="00244593">
        <w:t>nce</w:t>
      </w:r>
      <w:r w:rsidR="00ED67E9">
        <w:t xml:space="preserve"> for economic analysis and </w:t>
      </w:r>
      <w:r w:rsidR="00C9275E">
        <w:t xml:space="preserve">transport </w:t>
      </w:r>
      <w:r w:rsidR="00DB0552">
        <w:t>modelling, as well as for policy interventions</w:t>
      </w:r>
      <w:r w:rsidR="008C579A">
        <w:t xml:space="preserve"> and investments</w:t>
      </w:r>
      <w:r w:rsidR="00DB0552">
        <w:t xml:space="preserve"> aimed at fostering </w:t>
      </w:r>
      <w:r w:rsidR="00CA0E08">
        <w:t xml:space="preserve">economic </w:t>
      </w:r>
      <w:r w:rsidR="00DB0552">
        <w:t xml:space="preserve">development and alleviating traffic congestion. </w:t>
      </w:r>
    </w:p>
    <w:p w14:paraId="5A2927BE" w14:textId="77E67E62" w:rsidR="00244593" w:rsidRDefault="00244593"/>
    <w:p w14:paraId="608B780D" w14:textId="77B9DD74" w:rsidR="00244593" w:rsidRDefault="0031326E">
      <w:r>
        <w:t>The argument of this paper is that travel time invariance is a phenomenon that should be recognised in transport analysis. The range of topics considered is wide, hence the literature cited is selective rather than comprehensive.</w:t>
      </w:r>
    </w:p>
    <w:p w14:paraId="7CBC0EDC" w14:textId="77777777" w:rsidR="00515E52" w:rsidRDefault="00515E52"/>
    <w:p w14:paraId="559317DD" w14:textId="77777777" w:rsidR="00003CBF" w:rsidRPr="00833C65" w:rsidRDefault="00913AF4">
      <w:pPr>
        <w:rPr>
          <w:rFonts w:asciiTheme="majorHAnsi" w:hAnsiTheme="majorHAnsi" w:cstheme="majorHAnsi"/>
        </w:rPr>
      </w:pPr>
      <w:r w:rsidRPr="00833C65">
        <w:rPr>
          <w:rFonts w:asciiTheme="majorHAnsi" w:hAnsiTheme="majorHAnsi" w:cstheme="majorHAnsi"/>
        </w:rPr>
        <w:t>Observational evidence</w:t>
      </w:r>
    </w:p>
    <w:p w14:paraId="07076290" w14:textId="77777777" w:rsidR="00003CBF" w:rsidRDefault="00003CBF"/>
    <w:p w14:paraId="2239405C" w14:textId="51A64339" w:rsidR="00195367" w:rsidRDefault="00913AF4" w:rsidP="00195367">
      <w:r>
        <w:t>The main evidence for the long run stability of average travel time comes from national travel surveys.</w:t>
      </w:r>
      <w:r w:rsidR="00195367">
        <w:t xml:space="preserve"> The UK Department for Transport first commissioned a National Travel Survey (NTS) in 1965. The survey became a regular event starting in the early 1970s, and is now carried out annually, involving 16,000 representative individuals completing travel diaries with full details of their movements for seven days, thereby generating time series of travel data spanning 45 years in considerable detail. The NTS covers all modes of travel except international travel by ai</w:t>
      </w:r>
      <w:r w:rsidR="008C579A">
        <w:t>r, so in effect it</w:t>
      </w:r>
      <w:r w:rsidR="00195367">
        <w:t xml:space="preserve"> largely records the pattern of daily travel (NTS, </w:t>
      </w:r>
      <w:r w:rsidR="009C310B">
        <w:t xml:space="preserve">2018). </w:t>
      </w:r>
      <w:r w:rsidR="00195367">
        <w:t xml:space="preserve">Figure 1 shows outcomes per person for annual distance travelled, time spent </w:t>
      </w:r>
      <w:r w:rsidR="008C579A">
        <w:t>travelling</w:t>
      </w:r>
      <w:r w:rsidR="00195367">
        <w:t xml:space="preserve"> and number of journey</w:t>
      </w:r>
      <w:r w:rsidR="009C310B">
        <w:t xml:space="preserve">s made, by all modes </w:t>
      </w:r>
      <w:r w:rsidR="008C579A">
        <w:t>except international air travel</w:t>
      </w:r>
      <w:r w:rsidR="00195367">
        <w:t>. What is evident is that two aspects of individual travel have changed relatively little over 45 years: average trav</w:t>
      </w:r>
      <w:r w:rsidR="009C310B">
        <w:t>el time has remained close to 37</w:t>
      </w:r>
      <w:r w:rsidR="00195367">
        <w:t>0 hours a year, or an hour a day, and the average number of trips has been about 1000 a year</w:t>
      </w:r>
      <w:r w:rsidR="009C310B">
        <w:t>. There has been some small decline in annual trips in recent years - by 9 per cent between 2002 and 2017, almost all of which is due to a reduction in walking trips of less than one mile, mainly for shopping, personal business and visiting friends</w:t>
      </w:r>
      <w:r w:rsidR="00934373">
        <w:t xml:space="preserve"> (Mitchell, 2018).</w:t>
      </w:r>
      <w:r w:rsidR="000D5514">
        <w:t xml:space="preserve">  </w:t>
      </w:r>
    </w:p>
    <w:p w14:paraId="726DBA58" w14:textId="7C61FDD0" w:rsidR="005D5A1D" w:rsidRDefault="005D5A1D" w:rsidP="00195367"/>
    <w:p w14:paraId="56532147" w14:textId="4E307F6D" w:rsidR="005D5A1D" w:rsidRDefault="005D5A1D" w:rsidP="00195367"/>
    <w:p w14:paraId="3595623F" w14:textId="3EE6E912" w:rsidR="005D5A1D" w:rsidRDefault="005D5A1D" w:rsidP="00195367"/>
    <w:p w14:paraId="3B883DBE" w14:textId="77777777" w:rsidR="005D5A1D" w:rsidRDefault="005D5A1D" w:rsidP="00195367"/>
    <w:p w14:paraId="76808BB1" w14:textId="77777777" w:rsidR="005D5A1D" w:rsidRDefault="005D5A1D" w:rsidP="00195367"/>
    <w:p w14:paraId="3C7C01E8" w14:textId="77777777" w:rsidR="005D5A1D" w:rsidRDefault="005D5A1D" w:rsidP="005D5A1D">
      <w:r w:rsidRPr="00DD33E1">
        <w:lastRenderedPageBreak/>
        <w:t xml:space="preserve">Figure 1. UK National Travel Survey. Source; Table </w:t>
      </w:r>
      <w:r>
        <w:t>NTS0101</w:t>
      </w:r>
    </w:p>
    <w:p w14:paraId="7904BF4A" w14:textId="77777777" w:rsidR="00934373" w:rsidRDefault="00934373" w:rsidP="00195367"/>
    <w:p w14:paraId="4CFBBE21" w14:textId="53B1B4E6" w:rsidR="00934373" w:rsidRDefault="005D5A1D" w:rsidP="00934373">
      <w:r>
        <w:rPr>
          <w:noProof/>
        </w:rPr>
        <w:drawing>
          <wp:inline distT="0" distB="0" distL="0" distR="0" wp14:anchorId="6375CBF2" wp14:editId="391DEE70">
            <wp:extent cx="4572000" cy="3932766"/>
            <wp:effectExtent l="0" t="0" r="12700" b="17145"/>
            <wp:docPr id="1" name="Chart 1">
              <a:extLst xmlns:a="http://schemas.openxmlformats.org/drawingml/2006/main">
                <a:ext uri="{FF2B5EF4-FFF2-40B4-BE49-F238E27FC236}">
                  <a16:creationId xmlns:a16="http://schemas.microsoft.com/office/drawing/2014/main" id="{953A75BE-54AE-8342-BF93-04AA6A1D2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D3C7718" w14:textId="77777777" w:rsidR="005D5A1D" w:rsidRDefault="005D5A1D" w:rsidP="00934373"/>
    <w:p w14:paraId="229B89A6" w14:textId="5C78624C" w:rsidR="00934373" w:rsidRDefault="00195367" w:rsidP="00934373">
      <w:r>
        <w:t xml:space="preserve">The United States Department of Transportation </w:t>
      </w:r>
      <w:r w:rsidR="00934373">
        <w:t>is responsible for the</w:t>
      </w:r>
      <w:r>
        <w:t xml:space="preserve"> National Household Travel Survey</w:t>
      </w:r>
      <w:r w:rsidR="00934373">
        <w:t>, which</w:t>
      </w:r>
      <w:r>
        <w:t xml:space="preserve"> started in 1969 and takes place at intervals of five to eight years, most recently in 2017 when 130,000 households participated, individuals logging travel for one day of the week only. </w:t>
      </w:r>
      <w:r w:rsidR="005960D3">
        <w:t xml:space="preserve">Average travel time is not recorded, but average time spent in a vehicle as driver or passenger has been </w:t>
      </w:r>
      <w:r w:rsidR="001D24EC">
        <w:t>close to</w:t>
      </w:r>
      <w:r w:rsidR="005960D3">
        <w:t xml:space="preserve"> an hour a day</w:t>
      </w:r>
      <w:r w:rsidR="001D24EC">
        <w:t xml:space="preserve"> since 1995 (Figure 7 of NHTS, 2018)</w:t>
      </w:r>
      <w:r w:rsidR="005960D3">
        <w:t xml:space="preserve">. </w:t>
      </w:r>
    </w:p>
    <w:p w14:paraId="42BAFB29" w14:textId="77777777" w:rsidR="00B64312" w:rsidRDefault="00B64312" w:rsidP="00934373"/>
    <w:p w14:paraId="1A423D9F" w14:textId="0CC78F73" w:rsidR="00B64312" w:rsidRDefault="004C7E41" w:rsidP="00934373">
      <w:r>
        <w:t xml:space="preserve">Other national travel surveys vary in coverage, many not reporting average travel time, and in the availability of time series data. </w:t>
      </w:r>
      <w:r w:rsidR="00B64312">
        <w:t>The Swedish National Travel Survey reports average travel time per day as 57</w:t>
      </w:r>
      <w:r w:rsidR="00B64312">
        <w:rPr>
          <w:rFonts w:ascii="Cambria" w:hAnsi="Cambria"/>
        </w:rPr>
        <w:t>±</w:t>
      </w:r>
      <w:r w:rsidR="00B64312">
        <w:t>3 minutes for 2015-16</w:t>
      </w:r>
      <w:r w:rsidR="000E1B28">
        <w:t>, rather less than the 72 minutes found for 2012-13 (SNTS</w:t>
      </w:r>
      <w:r w:rsidR="00ED67E9">
        <w:t>,</w:t>
      </w:r>
      <w:r w:rsidR="000E1B28">
        <w:t xml:space="preserve"> 2017).</w:t>
      </w:r>
      <w:r w:rsidR="00B6545B">
        <w:t xml:space="preserve"> The Netherlands Mobility Panel </w:t>
      </w:r>
      <w:r w:rsidR="003020D6">
        <w:t>2014 found an average travel time of 65 minutes (</w:t>
      </w:r>
      <w:r w:rsidR="000B5903">
        <w:t xml:space="preserve">Olde </w:t>
      </w:r>
      <w:proofErr w:type="spellStart"/>
      <w:r w:rsidR="003020D6">
        <w:t>Kalter</w:t>
      </w:r>
      <w:proofErr w:type="spellEnd"/>
      <w:r w:rsidR="003020D6">
        <w:t xml:space="preserve">, </w:t>
      </w:r>
      <w:proofErr w:type="spellStart"/>
      <w:r w:rsidR="003020D6">
        <w:t>Hoogendoorn-Lanser</w:t>
      </w:r>
      <w:proofErr w:type="spellEnd"/>
      <w:r w:rsidR="003020D6">
        <w:t xml:space="preserve"> and </w:t>
      </w:r>
      <w:proofErr w:type="spellStart"/>
      <w:r w:rsidR="003020D6">
        <w:t>Geurs</w:t>
      </w:r>
      <w:proofErr w:type="spellEnd"/>
      <w:r w:rsidR="003020D6">
        <w:t>, 2014).</w:t>
      </w:r>
      <w:r w:rsidR="00835834">
        <w:t xml:space="preserve"> </w:t>
      </w:r>
      <w:r w:rsidR="002F2075">
        <w:t xml:space="preserve">Earlier data from the Netherlands National Travel Survey </w:t>
      </w:r>
      <w:r w:rsidR="00FF38FA">
        <w:t>showed</w:t>
      </w:r>
      <w:r w:rsidR="002F2075">
        <w:t xml:space="preserve"> little change in </w:t>
      </w:r>
      <w:r w:rsidR="00FF38FA">
        <w:t xml:space="preserve">an </w:t>
      </w:r>
      <w:r w:rsidR="002F2075">
        <w:t xml:space="preserve">average travel time </w:t>
      </w:r>
      <w:r w:rsidR="00FF38FA">
        <w:t xml:space="preserve">of about 72 minutes a day </w:t>
      </w:r>
      <w:r w:rsidR="002F2075">
        <w:t>between 1985 and 1998</w:t>
      </w:r>
      <w:r w:rsidR="00FF38FA">
        <w:t xml:space="preserve"> (van Wee, Rietveld and </w:t>
      </w:r>
      <w:proofErr w:type="spellStart"/>
      <w:r w:rsidR="00FF38FA">
        <w:t>Meurs</w:t>
      </w:r>
      <w:proofErr w:type="spellEnd"/>
      <w:r w:rsidR="00FF38FA">
        <w:t xml:space="preserve">, 2006). </w:t>
      </w:r>
      <w:r w:rsidR="00835834">
        <w:t>The Danish National Travel Survey records average travel time in 2016 as 57 minutes (DNTS</w:t>
      </w:r>
      <w:r w:rsidR="009B7DA2">
        <w:t>,</w:t>
      </w:r>
      <w:r w:rsidR="00835834">
        <w:t xml:space="preserve"> 2016).</w:t>
      </w:r>
      <w:r w:rsidR="002E5B8D">
        <w:t xml:space="preserve"> The New Zealand Household Travel Survey </w:t>
      </w:r>
      <w:r w:rsidR="006C0246">
        <w:t>reports average travel time of 5.8 hours per week in 2015</w:t>
      </w:r>
      <w:r w:rsidR="002E5B8D">
        <w:t>-2018, or 50 min per day (NZHTS, 2018).</w:t>
      </w:r>
    </w:p>
    <w:p w14:paraId="513144F9" w14:textId="77777777" w:rsidR="00B36705" w:rsidRDefault="00B36705" w:rsidP="00934373"/>
    <w:p w14:paraId="6A2FE543" w14:textId="0FF58B75" w:rsidR="00B36705" w:rsidRDefault="00C703BD" w:rsidP="00934373">
      <w:r>
        <w:rPr>
          <w:lang w:val="en-US"/>
        </w:rPr>
        <w:t xml:space="preserve">Schafer and Victor (2000) compiled earlier data from over 60 national and city travel surveys for single time points, finding an average travel time of approximately 1.1 hours per person per day, not varying across a wide range of incomes, geography and cultures, although travel time was higher in congested </w:t>
      </w:r>
      <w:r>
        <w:rPr>
          <w:lang w:val="en-US"/>
        </w:rPr>
        <w:lastRenderedPageBreak/>
        <w:t>cities.</w:t>
      </w:r>
      <w:r w:rsidR="00B31736" w:rsidRPr="00B31736">
        <w:rPr>
          <w:lang w:val="en-US"/>
        </w:rPr>
        <w:t xml:space="preserve"> </w:t>
      </w:r>
      <w:proofErr w:type="spellStart"/>
      <w:r w:rsidR="00B31736">
        <w:rPr>
          <w:lang w:val="en-US"/>
        </w:rPr>
        <w:t>Mokhtarian</w:t>
      </w:r>
      <w:proofErr w:type="spellEnd"/>
      <w:r w:rsidR="00B31736">
        <w:rPr>
          <w:lang w:val="en-US"/>
        </w:rPr>
        <w:t xml:space="preserve"> and Chen (2004) reviewed a number of previous surveys of travel, time use and activities, </w:t>
      </w:r>
      <w:r w:rsidR="00D9786C">
        <w:rPr>
          <w:lang w:val="en-US"/>
        </w:rPr>
        <w:t xml:space="preserve">finding that at aggregate level travel time expenditures </w:t>
      </w:r>
      <w:r w:rsidR="00DF66A5">
        <w:rPr>
          <w:lang w:val="en-US"/>
        </w:rPr>
        <w:t>appeared to have some stability.</w:t>
      </w:r>
      <w:r w:rsidR="00D9786C">
        <w:rPr>
          <w:lang w:val="en-US"/>
        </w:rPr>
        <w:t xml:space="preserve"> </w:t>
      </w:r>
      <w:proofErr w:type="spellStart"/>
      <w:r w:rsidR="00886B55">
        <w:rPr>
          <w:lang w:val="en-US"/>
        </w:rPr>
        <w:t>Stopher</w:t>
      </w:r>
      <w:proofErr w:type="spellEnd"/>
      <w:r w:rsidR="00886B55">
        <w:rPr>
          <w:lang w:val="en-US"/>
        </w:rPr>
        <w:t xml:space="preserve">, Ahmed and Liu (2017) </w:t>
      </w:r>
      <w:r w:rsidR="006A47A9">
        <w:rPr>
          <w:lang w:val="en-US"/>
        </w:rPr>
        <w:t>employed</w:t>
      </w:r>
      <w:r w:rsidR="00886B55">
        <w:rPr>
          <w:lang w:val="en-US"/>
        </w:rPr>
        <w:t xml:space="preserve"> GPS monitoring to follow the travel behavior of </w:t>
      </w:r>
      <w:r w:rsidR="006A47A9">
        <w:rPr>
          <w:lang w:val="en-US"/>
        </w:rPr>
        <w:t xml:space="preserve">individual </w:t>
      </w:r>
      <w:r w:rsidR="00886B55">
        <w:rPr>
          <w:lang w:val="en-US"/>
        </w:rPr>
        <w:t>participants</w:t>
      </w:r>
      <w:r w:rsidR="00886B55" w:rsidRPr="00886B55">
        <w:rPr>
          <w:lang w:val="en-US"/>
        </w:rPr>
        <w:t xml:space="preserve"> </w:t>
      </w:r>
      <w:r w:rsidR="00886B55">
        <w:rPr>
          <w:lang w:val="en-US"/>
        </w:rPr>
        <w:t>in panel studies</w:t>
      </w:r>
      <w:r w:rsidR="006A47A9" w:rsidRPr="006A47A9">
        <w:rPr>
          <w:lang w:val="en-US"/>
        </w:rPr>
        <w:t xml:space="preserve"> </w:t>
      </w:r>
      <w:r w:rsidR="006A47A9">
        <w:rPr>
          <w:lang w:val="en-US"/>
        </w:rPr>
        <w:t xml:space="preserve">over eight years, confirming an average expenditure of travel time of about an hour a day, with no trend and with a majority of individuals </w:t>
      </w:r>
      <w:r w:rsidR="0093234F">
        <w:rPr>
          <w:lang w:val="en-US"/>
        </w:rPr>
        <w:t>showing</w:t>
      </w:r>
      <w:r w:rsidR="006A47A9">
        <w:rPr>
          <w:lang w:val="en-US"/>
        </w:rPr>
        <w:t xml:space="preserve"> no significant variations over the period.</w:t>
      </w:r>
      <w:r w:rsidR="00346579">
        <w:rPr>
          <w:lang w:val="en-US"/>
        </w:rPr>
        <w:t xml:space="preserve"> A recent analysis of a number of US time use surveys found travel time to increase by about 20 per cent between 1975 and 1993, but decreased thereafter such that by 2013 average travel was similar to that in the 1960s and 1970s; the </w:t>
      </w:r>
      <w:r w:rsidR="008812F8">
        <w:rPr>
          <w:lang w:val="en-US"/>
        </w:rPr>
        <w:t>earlier increase is attributed in part to demographic changes, the latter decline to a shift from work to leisure (Song and Wei, 2018).</w:t>
      </w:r>
    </w:p>
    <w:p w14:paraId="4A7B2F41" w14:textId="77777777" w:rsidR="00B36705" w:rsidRDefault="00B36705" w:rsidP="00934373"/>
    <w:p w14:paraId="4633DC4E" w14:textId="77A98724" w:rsidR="00934373" w:rsidRDefault="0093234F" w:rsidP="00934373">
      <w:r>
        <w:t>T</w:t>
      </w:r>
      <w:r w:rsidR="00762285">
        <w:t>aken as a whole, t</w:t>
      </w:r>
      <w:r>
        <w:t>he empirical evidence is consistent</w:t>
      </w:r>
      <w:r w:rsidR="00B134EB">
        <w:t xml:space="preserve"> with an average travel time of about an hour a day being a general characteristic of settled populations, with no</w:t>
      </w:r>
      <w:r w:rsidR="00762285">
        <w:t xml:space="preserve"> consistent</w:t>
      </w:r>
      <w:r w:rsidR="00B134EB">
        <w:t xml:space="preserve"> trend</w:t>
      </w:r>
      <w:r w:rsidR="00762285">
        <w:t xml:space="preserve"> for this parameter</w:t>
      </w:r>
      <w:r w:rsidR="00B134EB">
        <w:t xml:space="preserve"> to increase or decrease over the years, and with no evidence of variation with average income</w:t>
      </w:r>
      <w:r w:rsidR="009B7DA2">
        <w:t>.</w:t>
      </w:r>
    </w:p>
    <w:p w14:paraId="3A6995FA" w14:textId="77777777" w:rsidR="00B134EB" w:rsidRDefault="00B134EB" w:rsidP="00934373"/>
    <w:p w14:paraId="7FAB71CE" w14:textId="50F2DC2D" w:rsidR="00B134EB" w:rsidRDefault="00B134EB" w:rsidP="00934373">
      <w:r>
        <w:t xml:space="preserve">On the other hand, within populations there are variations in average travel time for sub-groups. </w:t>
      </w:r>
      <w:r w:rsidR="00937BF0">
        <w:t>Data from the UK National Travel Sur</w:t>
      </w:r>
      <w:r w:rsidR="00DD2472">
        <w:t>vey show</w:t>
      </w:r>
      <w:r w:rsidR="00E2258B">
        <w:t xml:space="preserve"> people in mid-life spent</w:t>
      </w:r>
      <w:r w:rsidR="00937BF0">
        <w:t xml:space="preserve"> some 60 per cent more time travelling than children and older people, while people in the</w:t>
      </w:r>
      <w:r w:rsidR="00E2258B">
        <w:t xml:space="preserve"> highest income quintile spent</w:t>
      </w:r>
      <w:r w:rsidR="00DD2472">
        <w:t xml:space="preserve"> 7</w:t>
      </w:r>
      <w:r w:rsidR="00937BF0">
        <w:t>0 per cent more time on the move than those in the lowest, a reflect</w:t>
      </w:r>
      <w:r w:rsidR="00DD2472">
        <w:t>ion of more active lifestyles; i</w:t>
      </w:r>
      <w:r w:rsidR="00937BF0">
        <w:t xml:space="preserve">n contrast, there </w:t>
      </w:r>
      <w:r w:rsidR="00E2258B">
        <w:t>was</w:t>
      </w:r>
      <w:r w:rsidR="00937BF0">
        <w:t xml:space="preserve"> relatively little variation of travel time according to geographic location</w:t>
      </w:r>
      <w:r w:rsidR="00DD2472">
        <w:t>, except for thos</w:t>
      </w:r>
      <w:r w:rsidR="00E2258B">
        <w:t>e living in London who spent</w:t>
      </w:r>
      <w:r w:rsidR="00DD2472">
        <w:t xml:space="preserve"> 16 per cent more time travellin</w:t>
      </w:r>
      <w:r w:rsidR="007E2A06">
        <w:t>g</w:t>
      </w:r>
      <w:r w:rsidR="00DD2472">
        <w:t xml:space="preserve"> than the national average (Metz, 2005). Similar variations with age</w:t>
      </w:r>
      <w:r w:rsidR="007E2A06">
        <w:t xml:space="preserve"> are found in the Swedish and New Zealand survey</w:t>
      </w:r>
      <w:r w:rsidR="000D5514">
        <w:t>s cited above</w:t>
      </w:r>
      <w:r w:rsidR="007E2A06">
        <w:t xml:space="preserve">. </w:t>
      </w:r>
      <w:proofErr w:type="spellStart"/>
      <w:r w:rsidR="004C33A4">
        <w:rPr>
          <w:lang w:val="en-US"/>
        </w:rPr>
        <w:t>Mokhtarian</w:t>
      </w:r>
      <w:proofErr w:type="spellEnd"/>
      <w:r w:rsidR="004C33A4">
        <w:rPr>
          <w:lang w:val="en-US"/>
        </w:rPr>
        <w:t xml:space="preserve"> and Chen (2004), reviewing earlier studies, identified more that found a significant effect of age on travel time expenditure than th</w:t>
      </w:r>
      <w:r w:rsidR="00DF66A5">
        <w:rPr>
          <w:lang w:val="en-US"/>
        </w:rPr>
        <w:t>ose that found it insignificant, and more generally found travel time to vary according to individual and household characteristics.</w:t>
      </w:r>
    </w:p>
    <w:p w14:paraId="5B4B753C" w14:textId="77777777" w:rsidR="00913AF4" w:rsidRDefault="00913AF4"/>
    <w:p w14:paraId="7846287A" w14:textId="1DB90F63" w:rsidR="00003CBF" w:rsidRPr="001548C1" w:rsidRDefault="00003CBF">
      <w:pPr>
        <w:rPr>
          <w:rFonts w:asciiTheme="majorHAnsi" w:hAnsiTheme="majorHAnsi" w:cstheme="majorHAnsi"/>
        </w:rPr>
      </w:pPr>
      <w:r w:rsidRPr="001548C1">
        <w:rPr>
          <w:rFonts w:asciiTheme="majorHAnsi" w:hAnsiTheme="majorHAnsi" w:cstheme="majorHAnsi"/>
        </w:rPr>
        <w:t xml:space="preserve">Implications of travel time invariance </w:t>
      </w:r>
    </w:p>
    <w:p w14:paraId="5F9002A8" w14:textId="77777777" w:rsidR="000D5514" w:rsidRDefault="000D5514"/>
    <w:p w14:paraId="32C2E1FD" w14:textId="2B94A40D" w:rsidR="000D5514" w:rsidRDefault="00385203">
      <w:r>
        <w:t>The observed invariance of average travel time has prompted consideration of the concept of a ‘travel time budget’, implying that individuals have a certain amount of time they are willi</w:t>
      </w:r>
      <w:r w:rsidR="002F182E">
        <w:t xml:space="preserve">ng to spend on travel and that </w:t>
      </w:r>
      <w:r>
        <w:t xml:space="preserve">they will </w:t>
      </w:r>
      <w:r w:rsidR="002F182E">
        <w:t xml:space="preserve">minimize departures from that budget. The relevant literature has been reviewed by </w:t>
      </w:r>
      <w:proofErr w:type="spellStart"/>
      <w:r w:rsidR="002F182E">
        <w:t>Mokhtarian</w:t>
      </w:r>
      <w:proofErr w:type="spellEnd"/>
      <w:r w:rsidR="002F182E">
        <w:t xml:space="preserve"> and Chen (2004) and by Ahmed and </w:t>
      </w:r>
      <w:proofErr w:type="spellStart"/>
      <w:r w:rsidR="002F182E">
        <w:t>Stopher</w:t>
      </w:r>
      <w:proofErr w:type="spellEnd"/>
      <w:r w:rsidR="002F182E">
        <w:t xml:space="preserve"> (2014). As the latter authors point out, a travel time budget is not directly observable, unlike travel time expenditure, which is measurable. The observed variation of travel time expenditure as a function of age</w:t>
      </w:r>
      <w:r w:rsidR="00AB4BD7">
        <w:t xml:space="preserve"> and income imply that </w:t>
      </w:r>
      <w:r w:rsidR="00E2258B">
        <w:t>individuals</w:t>
      </w:r>
      <w:r w:rsidR="00AB4BD7">
        <w:t xml:space="preserve"> are making choices of activities that involve the expenditure of time, just as they make choices about the expenditure of money. Daily expenditure of time is constrained by the 24 hours available to all, whereas money expenditure </w:t>
      </w:r>
      <w:r w:rsidR="0006715D">
        <w:t>varies</w:t>
      </w:r>
      <w:r w:rsidR="00AB4BD7">
        <w:t xml:space="preserve"> with income that is unequally distributed and </w:t>
      </w:r>
      <w:r w:rsidR="0006715D">
        <w:t>changes</w:t>
      </w:r>
      <w:r w:rsidR="00AB4BD7">
        <w:t xml:space="preserve"> across the life course.</w:t>
      </w:r>
      <w:r w:rsidR="00617E6E">
        <w:t xml:space="preserve"> As with money, there is an opportunity cost to time spent travelling, time that cannot be used for other desired activities, which sets an upper bound. On the other hand, reducing daily travel time tends to lessen access to opportunities that are spatially </w:t>
      </w:r>
      <w:r w:rsidR="00617E6E">
        <w:lastRenderedPageBreak/>
        <w:t xml:space="preserve">separated, as well as to </w:t>
      </w:r>
      <w:r w:rsidR="00BE08D4">
        <w:t>intrinsic benefits of mobility (</w:t>
      </w:r>
      <w:proofErr w:type="spellStart"/>
      <w:r w:rsidR="00BE08D4">
        <w:t>Mokhtarian</w:t>
      </w:r>
      <w:proofErr w:type="spellEnd"/>
      <w:r w:rsidR="00BE08D4">
        <w:t>, Salomon and Singer, 2015).</w:t>
      </w:r>
    </w:p>
    <w:p w14:paraId="08B6C78F" w14:textId="77777777" w:rsidR="00AB4BD7" w:rsidRDefault="00AB4BD7"/>
    <w:p w14:paraId="478BD224" w14:textId="7559AC0D" w:rsidR="00AB4BD7" w:rsidRDefault="00AB4BD7">
      <w:r>
        <w:t xml:space="preserve">The notion of a travel time budget to be attributed to individuals seems not to be particularly useful for practical purposes. </w:t>
      </w:r>
      <w:r w:rsidR="004D638B">
        <w:t xml:space="preserve">However, the observed invariance of average travel time implies both upper and lower bounds to time that can be expended on travel, considerations that can inform our understanding of travel behaviour and are </w:t>
      </w:r>
      <w:r w:rsidR="0006715D">
        <w:t xml:space="preserve">central to decisions on transport investment and policy. The growth of average distance travelled, as for instance seen in Figure 1, </w:t>
      </w:r>
      <w:r w:rsidR="0013006F">
        <w:t>is necessarily</w:t>
      </w:r>
      <w:r w:rsidR="0006715D">
        <w:t xml:space="preserve"> </w:t>
      </w:r>
      <w:r w:rsidR="00AA0C4C">
        <w:t>the result</w:t>
      </w:r>
      <w:r w:rsidR="0006715D">
        <w:t xml:space="preserve"> of faster travel in unchanged travel time</w:t>
      </w:r>
      <w:r w:rsidR="00AA0C4C">
        <w:t xml:space="preserve">, a consequence of investment, very largely private investment in more and better road vehicles and public investment in roads, as recognised by Metz (2008) and Ahmed and </w:t>
      </w:r>
      <w:proofErr w:type="spellStart"/>
      <w:r w:rsidR="00AA0C4C">
        <w:t>Stopher</w:t>
      </w:r>
      <w:proofErr w:type="spellEnd"/>
      <w:r w:rsidR="00AA0C4C">
        <w:t xml:space="preserve"> (2014).</w:t>
      </w:r>
    </w:p>
    <w:p w14:paraId="0080EA87" w14:textId="77777777" w:rsidR="001E3C4E" w:rsidRDefault="001E3C4E"/>
    <w:p w14:paraId="751B2E35" w14:textId="0EE9FD1A" w:rsidR="004533B8" w:rsidRDefault="001E3C4E">
      <w:r>
        <w:t>The ability</w:t>
      </w:r>
      <w:r w:rsidR="001548C1">
        <w:t xml:space="preserve"> of the population at large</w:t>
      </w:r>
      <w:r>
        <w:t xml:space="preserve"> to travel faster than walking pace was made possible by harnessing the energy of fossil fuels, </w:t>
      </w:r>
      <w:r w:rsidR="00E2258B">
        <w:t>initially</w:t>
      </w:r>
      <w:r>
        <w:t xml:space="preserve"> coal on the railway and subsequently oil-based fuels for road </w:t>
      </w:r>
      <w:r w:rsidR="002A453C">
        <w:t>transport</w:t>
      </w:r>
      <w:r w:rsidR="00E2258B">
        <w:t>. Since the first passenger railway</w:t>
      </w:r>
      <w:r>
        <w:t xml:space="preserve"> </w:t>
      </w:r>
      <w:r w:rsidR="002A453C">
        <w:t xml:space="preserve">opened </w:t>
      </w:r>
      <w:r>
        <w:t xml:space="preserve">in 1830, there has been </w:t>
      </w:r>
      <w:r w:rsidR="00E2258B">
        <w:t>almost</w:t>
      </w:r>
      <w:r>
        <w:t xml:space="preserve"> two centuries </w:t>
      </w:r>
      <w:r w:rsidR="00E2258B">
        <w:t>during</w:t>
      </w:r>
      <w:r>
        <w:t xml:space="preserve"> which the availability </w:t>
      </w:r>
      <w:r w:rsidR="00E2258B">
        <w:t>of modern forms of transport have</w:t>
      </w:r>
      <w:r>
        <w:t xml:space="preserve"> become </w:t>
      </w:r>
      <w:r w:rsidR="002A453C">
        <w:t>ever more</w:t>
      </w:r>
      <w:r>
        <w:t xml:space="preserve"> widespread</w:t>
      </w:r>
      <w:r w:rsidR="003B073A">
        <w:t>, allowing the average speed</w:t>
      </w:r>
      <w:r w:rsidR="00E2258B">
        <w:t xml:space="preserve"> of travel</w:t>
      </w:r>
      <w:r w:rsidR="003B073A">
        <w:t xml:space="preserve"> to increase. </w:t>
      </w:r>
      <w:r w:rsidR="00E2258B">
        <w:t>Individuals</w:t>
      </w:r>
      <w:r w:rsidR="003B073A">
        <w:t xml:space="preserve"> have taken advantage of faster travel to venture f</w:t>
      </w:r>
      <w:r w:rsidR="0013006F">
        <w:t>u</w:t>
      </w:r>
      <w:r w:rsidR="003B073A">
        <w:t xml:space="preserve">rther, to </w:t>
      </w:r>
      <w:r w:rsidR="00E2258B">
        <w:t>gain</w:t>
      </w:r>
      <w:r w:rsidR="003B073A">
        <w:t xml:space="preserve"> more </w:t>
      </w:r>
      <w:r w:rsidR="005357FC">
        <w:t>access to</w:t>
      </w:r>
      <w:r w:rsidR="003B073A">
        <w:t xml:space="preserve"> destinations and more opportunities to benefit from a wider </w:t>
      </w:r>
      <w:r w:rsidR="005357FC">
        <w:t>choice</w:t>
      </w:r>
      <w:r w:rsidR="003B073A">
        <w:t xml:space="preserve"> of employment and services.</w:t>
      </w:r>
      <w:r w:rsidR="005357FC">
        <w:t xml:space="preserve"> </w:t>
      </w:r>
    </w:p>
    <w:p w14:paraId="26A2C784" w14:textId="77777777" w:rsidR="007A563C" w:rsidRDefault="007A563C"/>
    <w:p w14:paraId="4DCCD796" w14:textId="48B71877" w:rsidR="007A563C" w:rsidRDefault="007A563C">
      <w:r>
        <w:t xml:space="preserve">However, the scope for traveling </w:t>
      </w:r>
      <w:r w:rsidR="00F855E8">
        <w:t xml:space="preserve">yet faster on roads is now quite limited, </w:t>
      </w:r>
      <w:r w:rsidR="009B7DA2">
        <w:t xml:space="preserve">as </w:t>
      </w:r>
      <w:r w:rsidR="0013006F">
        <w:t>indicated by the cessation of growth of distance travelled since the turn of the century</w:t>
      </w:r>
      <w:r w:rsidR="009B7DA2">
        <w:t>, as for example</w:t>
      </w:r>
      <w:r w:rsidR="0013006F">
        <w:t xml:space="preserve"> shown in Figure 1. This is </w:t>
      </w:r>
      <w:r w:rsidR="00F855E8">
        <w:t>the consequence of</w:t>
      </w:r>
      <w:r>
        <w:t xml:space="preserve"> </w:t>
      </w:r>
      <w:r w:rsidR="00F855E8">
        <w:t>high levels of car ownership in developed economies, road traffic congestion</w:t>
      </w:r>
      <w:r w:rsidR="0013006F">
        <w:t xml:space="preserve"> in and near densely populated areas</w:t>
      </w:r>
      <w:r w:rsidR="00F855E8">
        <w:t xml:space="preserve">, and safety concerns </w:t>
      </w:r>
      <w:r w:rsidR="0013006F">
        <w:t xml:space="preserve">that limit the speed of travel </w:t>
      </w:r>
      <w:r w:rsidR="00F855E8">
        <w:t xml:space="preserve">on uncongested roads. While new </w:t>
      </w:r>
      <w:r w:rsidR="00DA25F7">
        <w:t>high-speed</w:t>
      </w:r>
      <w:r w:rsidR="00F855E8">
        <w:t xml:space="preserve"> rail routes offer faster travel, rail is responsible for a minority of </w:t>
      </w:r>
      <w:r w:rsidR="002A453C">
        <w:t>trips</w:t>
      </w:r>
      <w:r w:rsidR="00F855E8">
        <w:t xml:space="preserve">, and </w:t>
      </w:r>
      <w:r w:rsidR="00DA25F7">
        <w:t>high-speed</w:t>
      </w:r>
      <w:r w:rsidR="00F855E8">
        <w:t xml:space="preserve"> rail therefore for a minority of a minority, with little impact of new routes on the average speed of travel. </w:t>
      </w:r>
      <w:r w:rsidR="00DA25F7">
        <w:t>There are a variety of new transport technologies under development with the prospect of general deployment, in particular electric vehicles and autonomous vehicles, but these seem unlikely to permit faster travel. Other new technologies, such as electric aircraft in urban airspace, could provide faster travel but are likely to be confined to niche markets (Metz, 2019).</w:t>
      </w:r>
    </w:p>
    <w:p w14:paraId="73BAB0CF" w14:textId="77777777" w:rsidR="00DA25F7" w:rsidRDefault="00DA25F7"/>
    <w:p w14:paraId="5C1DED62" w14:textId="4AF20372" w:rsidR="00DA25F7" w:rsidRPr="001548C1" w:rsidRDefault="00DA25F7">
      <w:pPr>
        <w:rPr>
          <w:rFonts w:asciiTheme="majorHAnsi" w:hAnsiTheme="majorHAnsi" w:cstheme="majorHAnsi"/>
        </w:rPr>
      </w:pPr>
      <w:r w:rsidRPr="001548C1">
        <w:rPr>
          <w:rFonts w:asciiTheme="majorHAnsi" w:hAnsiTheme="majorHAnsi" w:cstheme="majorHAnsi"/>
        </w:rPr>
        <w:t>Road traffic congestion</w:t>
      </w:r>
    </w:p>
    <w:p w14:paraId="0328AFEF" w14:textId="77777777" w:rsidR="00DA25F7" w:rsidRDefault="00DA25F7"/>
    <w:p w14:paraId="417AF8EB" w14:textId="5CAF19E8" w:rsidR="00DA25F7" w:rsidRDefault="00E42274">
      <w:r>
        <w:t>T</w:t>
      </w:r>
      <w:r w:rsidR="00DA25F7">
        <w:t>raffic congestion</w:t>
      </w:r>
      <w:r>
        <w:t xml:space="preserve"> is an important constraint on the speed of travel on the road network. The </w:t>
      </w:r>
      <w:r w:rsidR="002A453C">
        <w:t>upper bound to the</w:t>
      </w:r>
      <w:r>
        <w:t xml:space="preserve"> availability of travel time is a key factor that both regulates the level of congestion and make its mitigation difficult. Congestion arises in or near densely populated urban areas where car ownership is high. There are more trips that could be made by car at times of peak usage than </w:t>
      </w:r>
      <w:r w:rsidR="009B7DA2">
        <w:t>can</w:t>
      </w:r>
      <w:r>
        <w:t xml:space="preserve"> be accommodate</w:t>
      </w:r>
      <w:r w:rsidR="009B7DA2">
        <w:t>d</w:t>
      </w:r>
      <w:r>
        <w:t xml:space="preserve"> by the capacity of the network, such that some potential road users are deterred by the prospect of unacceptable delays. </w:t>
      </w:r>
      <w:r w:rsidR="00FA3506">
        <w:t xml:space="preserve">They may decide to use a different mode of travel where available, travel at a time when there is less traffic, or to a different destination where there are such </w:t>
      </w:r>
      <w:r w:rsidR="00FA3506">
        <w:lastRenderedPageBreak/>
        <w:t>options (shopping, for instance), or not to travel at all (</w:t>
      </w:r>
      <w:r w:rsidR="001548C1">
        <w:t>such as</w:t>
      </w:r>
      <w:r w:rsidR="00FA3506">
        <w:t xml:space="preserve"> shopping on line). The suppression of potential road use by the expectation of excessive delays is responsible for the self-regulating nature of congestion, in that if traffic grows and delays increase, more users are deterred. Hence the experience that in well managed cities with alternative modes of travel available, gridlock is rare and generally </w:t>
      </w:r>
      <w:r w:rsidR="00AC7D2D">
        <w:t xml:space="preserve">arises from </w:t>
      </w:r>
      <w:r w:rsidR="00FA3506">
        <w:t xml:space="preserve">unexpected </w:t>
      </w:r>
      <w:r w:rsidR="00AC7D2D">
        <w:t>event</w:t>
      </w:r>
      <w:r w:rsidR="0070772E">
        <w:t>s (</w:t>
      </w:r>
      <w:proofErr w:type="spellStart"/>
      <w:r w:rsidR="0070772E">
        <w:t>Litman</w:t>
      </w:r>
      <w:proofErr w:type="spellEnd"/>
      <w:r w:rsidR="0070772E">
        <w:t>, 2019)</w:t>
      </w:r>
      <w:r w:rsidR="009B7DA2">
        <w:t>.</w:t>
      </w:r>
    </w:p>
    <w:p w14:paraId="4F68584D" w14:textId="77777777" w:rsidR="005838EE" w:rsidRDefault="005838EE"/>
    <w:p w14:paraId="7FEADDD2" w14:textId="033AE36E" w:rsidR="00765C8B" w:rsidRDefault="00D62A81">
      <w:r>
        <w:t xml:space="preserve">The existence of suppressed trips is the reason why attempts to reduce congestion prove difficult. Adding road capacity </w:t>
      </w:r>
      <w:r w:rsidR="0013006F">
        <w:t xml:space="preserve">reduces delays and </w:t>
      </w:r>
      <w:r w:rsidR="00070D90">
        <w:t xml:space="preserve">encourages </w:t>
      </w:r>
      <w:r w:rsidR="0013006F">
        <w:t xml:space="preserve">previously </w:t>
      </w:r>
      <w:r w:rsidR="00DC46DA">
        <w:t>suppressed trips</w:t>
      </w:r>
      <w:r>
        <w:t xml:space="preserve"> to be made, adding to traffic and restoring congestion to what it had been</w:t>
      </w:r>
      <w:r w:rsidR="007F377B">
        <w:t xml:space="preserve">, hence the maxim that </w:t>
      </w:r>
      <w:r w:rsidR="00A20B4E">
        <w:t>you</w:t>
      </w:r>
      <w:r w:rsidR="007F377B">
        <w:t xml:space="preserve"> can’t build </w:t>
      </w:r>
      <w:r w:rsidR="00A20B4E">
        <w:t>y</w:t>
      </w:r>
      <w:r w:rsidR="007F377B">
        <w:t>our way out of congestion</w:t>
      </w:r>
      <w:r w:rsidR="00F12E6A">
        <w:t xml:space="preserve"> (D</w:t>
      </w:r>
      <w:r w:rsidR="009902E1">
        <w:t>owns</w:t>
      </w:r>
      <w:r w:rsidR="00F12E6A">
        <w:t xml:space="preserve">, 1962; </w:t>
      </w:r>
      <w:r w:rsidR="00A20B4E">
        <w:t xml:space="preserve">Ladd, 2012). </w:t>
      </w:r>
      <w:r w:rsidR="00D63623">
        <w:t>Such ‘</w:t>
      </w:r>
      <w:proofErr w:type="spellStart"/>
      <w:r w:rsidR="00D63623">
        <w:t>desuppressed</w:t>
      </w:r>
      <w:proofErr w:type="spellEnd"/>
      <w:r w:rsidR="00D63623">
        <w:t xml:space="preserve">’ trips are </w:t>
      </w:r>
      <w:r w:rsidR="00753BBF">
        <w:t>one</w:t>
      </w:r>
      <w:r w:rsidR="00D63623">
        <w:t xml:space="preserve"> source of induced traffic, the traffic long recognised as arising from additional road capacity</w:t>
      </w:r>
      <w:r w:rsidR="00146555">
        <w:t xml:space="preserve"> (</w:t>
      </w:r>
      <w:r w:rsidR="00520454">
        <w:t xml:space="preserve">SACTRA, 1994; </w:t>
      </w:r>
      <w:r w:rsidR="00146555">
        <w:t xml:space="preserve">Goodwin, 1996; </w:t>
      </w:r>
      <w:r w:rsidR="00AC1428">
        <w:t xml:space="preserve">Noland and </w:t>
      </w:r>
      <w:proofErr w:type="spellStart"/>
      <w:r w:rsidR="00AC1428">
        <w:t>Lem</w:t>
      </w:r>
      <w:proofErr w:type="spellEnd"/>
      <w:r w:rsidR="00AC1428">
        <w:t>, 2002</w:t>
      </w:r>
      <w:r w:rsidR="00DA1A1D">
        <w:t xml:space="preserve">; </w:t>
      </w:r>
      <w:proofErr w:type="spellStart"/>
      <w:r w:rsidR="00A54D53">
        <w:t>Duranton</w:t>
      </w:r>
      <w:proofErr w:type="spellEnd"/>
      <w:r w:rsidR="00A54D53">
        <w:t xml:space="preserve"> and Turner, 2011</w:t>
      </w:r>
      <w:r w:rsidR="00DA1A1D">
        <w:t xml:space="preserve">; Handy and </w:t>
      </w:r>
      <w:proofErr w:type="spellStart"/>
      <w:r w:rsidR="00DA1A1D">
        <w:t>Borneat</w:t>
      </w:r>
      <w:proofErr w:type="spellEnd"/>
      <w:r w:rsidR="00DA1A1D">
        <w:t>, 2014</w:t>
      </w:r>
      <w:r w:rsidR="000D34AA">
        <w:t>; WSP, 2018</w:t>
      </w:r>
      <w:r w:rsidR="00AC1428">
        <w:t>)</w:t>
      </w:r>
      <w:r w:rsidR="00D63623">
        <w:t xml:space="preserve">. </w:t>
      </w:r>
    </w:p>
    <w:p w14:paraId="4A829DB6" w14:textId="77777777" w:rsidR="00765C8B" w:rsidRDefault="00765C8B"/>
    <w:p w14:paraId="71106121" w14:textId="563CAA18" w:rsidR="005838EE" w:rsidRDefault="007F377B">
      <w:r>
        <w:t>Interventions that seek to divert car users to other means of travel</w:t>
      </w:r>
      <w:r w:rsidR="009B7DA2">
        <w:t xml:space="preserve"> - </w:t>
      </w:r>
      <w:r>
        <w:t>such as public transport or the active modes of walking and cycling</w:t>
      </w:r>
      <w:r w:rsidR="009B7DA2">
        <w:t xml:space="preserve"> - </w:t>
      </w:r>
      <w:r>
        <w:t>free up carriageway for previously suppressed trips. Charging for use of road space under congested conditions is ineffective for the same reason (Metz, 2018).</w:t>
      </w:r>
    </w:p>
    <w:p w14:paraId="7FD60355" w14:textId="77777777" w:rsidR="007F377B" w:rsidRDefault="007F377B"/>
    <w:p w14:paraId="504ABFB3" w14:textId="6C5E660B" w:rsidR="007F377B" w:rsidRDefault="007F377B">
      <w:r>
        <w:t xml:space="preserve">The prospects for a direct solution to the ubiquitous problem of road traffic congestions seem poor. </w:t>
      </w:r>
      <w:r w:rsidR="00B52972">
        <w:t>One</w:t>
      </w:r>
      <w:r>
        <w:t xml:space="preserve"> means to mitigate </w:t>
      </w:r>
      <w:r w:rsidR="00B52972">
        <w:t>its</w:t>
      </w:r>
      <w:r>
        <w:t xml:space="preserve"> impact</w:t>
      </w:r>
      <w:r w:rsidR="00B52972">
        <w:t xml:space="preserve"> is to provide alternative modes of travel that are not impeded by general traffic – rail and bus rapid transit. Another approach</w:t>
      </w:r>
      <w:r w:rsidR="00554F86">
        <w:t xml:space="preserve"> </w:t>
      </w:r>
      <w:r w:rsidR="00B52972">
        <w:t xml:space="preserve">is </w:t>
      </w:r>
      <w:r w:rsidR="00554F86">
        <w:t xml:space="preserve">made possible by </w:t>
      </w:r>
      <w:r w:rsidR="00B52972">
        <w:t xml:space="preserve">digital navigation devices that offer optimal routes through congested road networks </w:t>
      </w:r>
      <w:r w:rsidR="00554F86">
        <w:t>and provide</w:t>
      </w:r>
      <w:r w:rsidR="00B52972">
        <w:t xml:space="preserve"> an estimate of expected time of arrival</w:t>
      </w:r>
      <w:r w:rsidR="0001350C">
        <w:t>, which mitigates</w:t>
      </w:r>
      <w:r w:rsidR="00554F86">
        <w:t xml:space="preserve"> journey time uncertainty, </w:t>
      </w:r>
      <w:r w:rsidR="0001350C">
        <w:t>an</w:t>
      </w:r>
      <w:r w:rsidR="00554F86">
        <w:t xml:space="preserve"> important </w:t>
      </w:r>
      <w:r w:rsidR="0001350C">
        <w:t>adverse impact</w:t>
      </w:r>
      <w:r w:rsidR="00554F86">
        <w:t xml:space="preserve"> of congestion</w:t>
      </w:r>
      <w:r w:rsidR="0001350C">
        <w:t xml:space="preserve"> for road users</w:t>
      </w:r>
      <w:r w:rsidR="00554F86">
        <w:t xml:space="preserve">. </w:t>
      </w:r>
    </w:p>
    <w:p w14:paraId="6B625290" w14:textId="77777777" w:rsidR="00F379A4" w:rsidRDefault="00F379A4"/>
    <w:p w14:paraId="36065FB7" w14:textId="5768C442" w:rsidR="00F379A4" w:rsidRDefault="00F379A4">
      <w:r>
        <w:t>While a direct attack on congestion cannot be expected to be fruitful, it is possible to influence the volume and composition of traffic. Adding capacity allows more trips to be made, while subtracting carriageway for private vehicles can make more space available to buses, cyclists and pedestrians, an approach adopted by many successful cities.</w:t>
      </w:r>
    </w:p>
    <w:p w14:paraId="053AAC7C" w14:textId="77777777" w:rsidR="00AC7D2D" w:rsidRDefault="00AC7D2D"/>
    <w:p w14:paraId="05DA7F04" w14:textId="77777777" w:rsidR="004533B8" w:rsidRPr="001548C1" w:rsidRDefault="004533B8" w:rsidP="004533B8">
      <w:pPr>
        <w:rPr>
          <w:rFonts w:asciiTheme="majorHAnsi" w:hAnsiTheme="majorHAnsi" w:cstheme="majorHAnsi"/>
        </w:rPr>
      </w:pPr>
      <w:r w:rsidRPr="001548C1">
        <w:rPr>
          <w:rFonts w:asciiTheme="majorHAnsi" w:hAnsiTheme="majorHAnsi" w:cstheme="majorHAnsi"/>
        </w:rPr>
        <w:t>Transport economic analysis</w:t>
      </w:r>
    </w:p>
    <w:p w14:paraId="55193F59" w14:textId="77777777" w:rsidR="004533B8" w:rsidRDefault="004533B8"/>
    <w:p w14:paraId="44820FAC" w14:textId="753A53C4" w:rsidR="00F1765E" w:rsidRDefault="001E3C4E">
      <w:r>
        <w:t>The observed invariance of average travel time is problematic for</w:t>
      </w:r>
      <w:r w:rsidR="005357FC">
        <w:t xml:space="preserve"> </w:t>
      </w:r>
      <w:r w:rsidR="005A0820">
        <w:t>orthodox</w:t>
      </w:r>
      <w:r w:rsidR="005357FC">
        <w:t xml:space="preserve"> transport econo</w:t>
      </w:r>
      <w:r w:rsidR="007A563C">
        <w:t>mic analysis</w:t>
      </w:r>
      <w:r w:rsidR="005A0820">
        <w:t>,</w:t>
      </w:r>
      <w:r w:rsidR="007A563C">
        <w:t xml:space="preserve"> for which a </w:t>
      </w:r>
      <w:r w:rsidR="005357FC">
        <w:t>central concept is that investment that allows faster travel results in the saving of travel time</w:t>
      </w:r>
      <w:r w:rsidR="005A0820">
        <w:t xml:space="preserve"> that</w:t>
      </w:r>
      <w:r w:rsidR="005357FC">
        <w:t xml:space="preserve"> can be valued. </w:t>
      </w:r>
      <w:r w:rsidR="00F1765E">
        <w:t>Monetised values of time savings are the largest element of user benefit in conventional transport cost-benefit analysis</w:t>
      </w:r>
      <w:r w:rsidR="00554F86">
        <w:t>.</w:t>
      </w:r>
      <w:r w:rsidR="00F1765E">
        <w:t xml:space="preserve"> There are many questions about the appropriateness of transport </w:t>
      </w:r>
      <w:r w:rsidR="00554F86">
        <w:t>cost-benefit analysis</w:t>
      </w:r>
      <w:r w:rsidR="00F1765E">
        <w:t xml:space="preserve">, as </w:t>
      </w:r>
      <w:r w:rsidR="000F4A8A">
        <w:t>reviewed</w:t>
      </w:r>
      <w:r w:rsidR="00F1765E">
        <w:t xml:space="preserve"> recently by </w:t>
      </w:r>
      <w:r w:rsidR="00306F2C">
        <w:t xml:space="preserve">Vickerman (2017) and by </w:t>
      </w:r>
      <w:r w:rsidR="00F1765E">
        <w:t xml:space="preserve">Hickman and Dean (2018). The </w:t>
      </w:r>
      <w:r w:rsidR="000F4A8A">
        <w:t xml:space="preserve">particular </w:t>
      </w:r>
      <w:r w:rsidR="00F1765E">
        <w:t xml:space="preserve">question for </w:t>
      </w:r>
      <w:r w:rsidR="000F4A8A">
        <w:t>the present</w:t>
      </w:r>
      <w:r w:rsidR="00F1765E">
        <w:t xml:space="preserve"> </w:t>
      </w:r>
      <w:r w:rsidR="000F4A8A">
        <w:t>discussion</w:t>
      </w:r>
      <w:r w:rsidR="00F1765E">
        <w:t xml:space="preserve"> is the appropriateness of time savings as the main user benefit.</w:t>
      </w:r>
    </w:p>
    <w:p w14:paraId="34A4C23B" w14:textId="77777777" w:rsidR="00F1765E" w:rsidRDefault="00F1765E"/>
    <w:p w14:paraId="5E0B3B70" w14:textId="77777777" w:rsidR="00504606" w:rsidRDefault="005357FC">
      <w:r>
        <w:t xml:space="preserve">Small (2012) </w:t>
      </w:r>
      <w:r w:rsidR="00E2258B">
        <w:t>states</w:t>
      </w:r>
      <w:r>
        <w:t xml:space="preserve"> that it is difficult to name a concept more widely used in transportation analysis</w:t>
      </w:r>
      <w:r w:rsidR="00112C52">
        <w:t xml:space="preserve"> than the value</w:t>
      </w:r>
      <w:r w:rsidR="00D55179">
        <w:t xml:space="preserve"> of travel time. </w:t>
      </w:r>
      <w:r w:rsidR="00094402">
        <w:t xml:space="preserve">Considerable effort has </w:t>
      </w:r>
      <w:r w:rsidR="00094402">
        <w:lastRenderedPageBreak/>
        <w:t>been made to establish monetary values of travel time, largely by means of stated preference techniques. The benefit of a transport investment that permits faster travel is then the estimated time savings per person, multiplied by the number of persons benefit</w:t>
      </w:r>
      <w:r w:rsidR="005415CD">
        <w:t>ing</w:t>
      </w:r>
      <w:r w:rsidR="00094402">
        <w:t xml:space="preserve"> per year, multiplied by the appropriate </w:t>
      </w:r>
      <w:r w:rsidR="005415CD">
        <w:t xml:space="preserve">monetary </w:t>
      </w:r>
      <w:r w:rsidR="00094402">
        <w:t xml:space="preserve">value of time, with future years’ values discounted using a suitable discount rate. </w:t>
      </w:r>
    </w:p>
    <w:p w14:paraId="05F4644F" w14:textId="77777777" w:rsidR="00504606" w:rsidRDefault="00504606"/>
    <w:p w14:paraId="4C084EDA" w14:textId="4CDEC2CF" w:rsidR="00504606" w:rsidRDefault="00094402">
      <w:r>
        <w:t xml:space="preserve">For individual </w:t>
      </w:r>
      <w:r w:rsidR="005415CD">
        <w:t xml:space="preserve">transport </w:t>
      </w:r>
      <w:r>
        <w:t xml:space="preserve">investments, time savings per person per trip are generally quite small, typically a few minutes. There has been debate about the significance of such </w:t>
      </w:r>
      <w:proofErr w:type="gramStart"/>
      <w:r>
        <w:t>small time</w:t>
      </w:r>
      <w:proofErr w:type="gramEnd"/>
      <w:r>
        <w:t xml:space="preserve"> savings</w:t>
      </w:r>
      <w:r w:rsidR="005A0820">
        <w:t xml:space="preserve"> (Daly, Tsang and Rohr, 2014)</w:t>
      </w:r>
      <w:r>
        <w:t xml:space="preserve">. On the one hand, it is argued that these are too </w:t>
      </w:r>
      <w:r w:rsidR="00A8429C">
        <w:t>insignificant</w:t>
      </w:r>
      <w:r>
        <w:t xml:space="preserve"> to change travel behaviour and so should be ignored. On the other, </w:t>
      </w:r>
      <w:r w:rsidR="005415CD">
        <w:t xml:space="preserve">the view that has prevailed is that </w:t>
      </w:r>
      <w:r>
        <w:t>the accumulation of such small time savings from a succession of investments can have a substantial impact on behaviour and so</w:t>
      </w:r>
      <w:r w:rsidR="00A8429C">
        <w:t xml:space="preserve"> in logic</w:t>
      </w:r>
      <w:r>
        <w:t xml:space="preserve"> the </w:t>
      </w:r>
      <w:r w:rsidR="00A8429C">
        <w:t>components should not be disregarded</w:t>
      </w:r>
      <w:r w:rsidR="005415CD">
        <w:t>.</w:t>
      </w:r>
      <w:r w:rsidR="00504606">
        <w:t xml:space="preserve"> </w:t>
      </w:r>
      <w:r w:rsidR="005A0820">
        <w:t xml:space="preserve">There is also </w:t>
      </w:r>
      <w:r w:rsidR="008E7F35">
        <w:t>a question of whether the value of time varies as a function of short-term versus long-term decisions, for instance for different routes for a single trip versus decisions about a change of workplace location.  Beck et al (2017</w:t>
      </w:r>
      <w:r w:rsidR="001548C1">
        <w:t>)</w:t>
      </w:r>
      <w:r w:rsidR="008E7F35">
        <w:t xml:space="preserve"> have presented evidence for higher values in the long term than in the short term.</w:t>
      </w:r>
    </w:p>
    <w:p w14:paraId="3D393717" w14:textId="4B7384EA" w:rsidR="00A8429C" w:rsidRDefault="005415CD">
      <w:r>
        <w:t xml:space="preserve"> </w:t>
      </w:r>
    </w:p>
    <w:p w14:paraId="546AF648" w14:textId="48AB7D97" w:rsidR="003B111A" w:rsidRDefault="00A8429C">
      <w:r>
        <w:t>The observed long-term invariance of average travel time</w:t>
      </w:r>
      <w:r w:rsidR="000226D6">
        <w:t xml:space="preserve"> seems inconsistent with an investment appraisal methodology that emphasises time savings.</w:t>
      </w:r>
      <w:r>
        <w:t xml:space="preserve"> </w:t>
      </w:r>
      <w:r w:rsidR="000226D6">
        <w:t xml:space="preserve">Such invariance </w:t>
      </w:r>
      <w:r>
        <w:t>does not preclude the existence of travel time savings but does imply that these must be short term</w:t>
      </w:r>
      <w:r w:rsidR="001548C1">
        <w:t>,</w:t>
      </w:r>
      <w:r>
        <w:t xml:space="preserve"> and </w:t>
      </w:r>
      <w:r w:rsidR="000226D6">
        <w:t xml:space="preserve">that </w:t>
      </w:r>
      <w:r w:rsidR="005415CD">
        <w:t xml:space="preserve">in the </w:t>
      </w:r>
      <w:proofErr w:type="gramStart"/>
      <w:r w:rsidR="005415CD">
        <w:t>long term</w:t>
      </w:r>
      <w:proofErr w:type="gramEnd"/>
      <w:r w:rsidR="005415CD">
        <w:t xml:space="preserve"> </w:t>
      </w:r>
      <w:r w:rsidR="002A453C">
        <w:t>time initially saved</w:t>
      </w:r>
      <w:r w:rsidR="001548C1">
        <w:t xml:space="preserve"> </w:t>
      </w:r>
      <w:r w:rsidR="005415CD">
        <w:t xml:space="preserve">must be </w:t>
      </w:r>
      <w:r>
        <w:t xml:space="preserve">expended to travel further, to gain </w:t>
      </w:r>
      <w:r w:rsidR="000B445F">
        <w:t>a different kind of</w:t>
      </w:r>
      <w:r>
        <w:t xml:space="preserve"> benefit. </w:t>
      </w:r>
      <w:r w:rsidR="000B445F">
        <w:t>Given the long-lived characteristic of transport investments, we should be concerned about the nature and value of such long term benefits.</w:t>
      </w:r>
    </w:p>
    <w:p w14:paraId="4196C2A6" w14:textId="77777777" w:rsidR="003B111A" w:rsidRDefault="003B111A"/>
    <w:p w14:paraId="69A09C77" w14:textId="26771614" w:rsidR="000E16CC" w:rsidRDefault="00A8429C">
      <w:r>
        <w:t xml:space="preserve">It is generally recognised that </w:t>
      </w:r>
      <w:r w:rsidR="000E16CC">
        <w:t xml:space="preserve">a change in the transport system leads to changes in accessibility, which in turn may lead to new development that contributes to changes in the real economy (Mackie, Batley and Worsley, 2018). The </w:t>
      </w:r>
      <w:r w:rsidR="005415CD">
        <w:t xml:space="preserve">worth </w:t>
      </w:r>
      <w:r w:rsidR="000E16CC">
        <w:t>of such development may be observed in increases in values of land and property</w:t>
      </w:r>
      <w:r w:rsidR="00554F86">
        <w:t xml:space="preserve"> (real estate)</w:t>
      </w:r>
      <w:r w:rsidR="000E16CC">
        <w:t xml:space="preserve"> made more accessible as a result of the transport investment. However, increases in </w:t>
      </w:r>
      <w:r w:rsidR="000B220F">
        <w:t xml:space="preserve">real estate values are generally disregarded in </w:t>
      </w:r>
      <w:r w:rsidR="005415CD">
        <w:t>conventional</w:t>
      </w:r>
      <w:r w:rsidR="000B220F">
        <w:t xml:space="preserve"> economic analysis to avoid double counting benefits assumed to be included in cost reduction</w:t>
      </w:r>
      <w:r w:rsidR="000E16CC">
        <w:t xml:space="preserve"> </w:t>
      </w:r>
      <w:r w:rsidR="000B220F">
        <w:t>(mainly time costs) experienced by users of the transport system.</w:t>
      </w:r>
    </w:p>
    <w:p w14:paraId="656D423A" w14:textId="77777777" w:rsidR="000B220F" w:rsidRDefault="000B220F"/>
    <w:p w14:paraId="30E1BAB8" w14:textId="75FDD827" w:rsidR="000B220F" w:rsidRDefault="005415CD">
      <w:r>
        <w:t>O</w:t>
      </w:r>
      <w:r w:rsidR="000B220F">
        <w:t>rthodox economic analysis is focused on time savings that</w:t>
      </w:r>
      <w:r w:rsidR="000226D6">
        <w:t>, for road investments</w:t>
      </w:r>
      <w:r w:rsidR="002A453C">
        <w:t>,</w:t>
      </w:r>
      <w:r w:rsidR="000B220F">
        <w:t xml:space="preserve"> are assumed</w:t>
      </w:r>
      <w:r w:rsidR="000226D6">
        <w:t>,</w:t>
      </w:r>
      <w:r w:rsidR="000B220F">
        <w:t xml:space="preserve"> not observed</w:t>
      </w:r>
      <w:r w:rsidR="000226D6">
        <w:t>.</w:t>
      </w:r>
      <w:r w:rsidR="000B220F">
        <w:t xml:space="preserve"> </w:t>
      </w:r>
      <w:r w:rsidR="00087C2E">
        <w:t xml:space="preserve">In principle, travel time savings could be observed empirically using travel diary techniques to monitor the changes in behaviour of a panel of users as they responded to the improvement to the transport system. However, no such systematic study appears to have been carried out. Available evidence from the evaluation of road improvements is generally limited to information on volumes and speeds of traffic, and sometimes data on journey time reliability. </w:t>
      </w:r>
    </w:p>
    <w:p w14:paraId="43B86776" w14:textId="77777777" w:rsidR="00087C2E" w:rsidRDefault="00087C2E"/>
    <w:p w14:paraId="1465FD9A" w14:textId="0A16831D" w:rsidR="00087C2E" w:rsidRDefault="00087C2E">
      <w:r>
        <w:t>For railway investments that allow faster travel, the time saving for the journey can be read from the new timetable</w:t>
      </w:r>
      <w:r w:rsidR="00864E56">
        <w:t xml:space="preserve">. This would be a measure to the benefit to users if trip origins and destination remained unaltered, which was the original </w:t>
      </w:r>
      <w:r w:rsidR="00864E56">
        <w:lastRenderedPageBreak/>
        <w:t>simplifying assumption of the standard approach transport modelling that provided the time saving inputs</w:t>
      </w:r>
      <w:r w:rsidR="00864E56" w:rsidRPr="00864E56">
        <w:t xml:space="preserve"> </w:t>
      </w:r>
      <w:r w:rsidR="00864E56">
        <w:t xml:space="preserve">to economic analysis. It was subsequently recognised that origins and estimations would change if the cost of travel </w:t>
      </w:r>
      <w:r w:rsidR="004B1C29">
        <w:t xml:space="preserve">were </w:t>
      </w:r>
      <w:r w:rsidR="00864E56">
        <w:t xml:space="preserve">reduced, which led to </w:t>
      </w:r>
      <w:r w:rsidR="001E0556">
        <w:t>a</w:t>
      </w:r>
      <w:r w:rsidR="00864E56">
        <w:t xml:space="preserve"> requirement for variable demand modelling. However, such modelling </w:t>
      </w:r>
      <w:r w:rsidR="001E0556">
        <w:t xml:space="preserve">is </w:t>
      </w:r>
      <w:r w:rsidR="00864E56">
        <w:t xml:space="preserve">based on </w:t>
      </w:r>
      <w:r w:rsidR="00006996">
        <w:t>short run</w:t>
      </w:r>
      <w:r w:rsidR="00864E56">
        <w:t xml:space="preserve"> elasticities and does not </w:t>
      </w:r>
      <w:r w:rsidR="003E57A0">
        <w:t>recognise the increase in demand implicit in the invariance of average travel time.</w:t>
      </w:r>
    </w:p>
    <w:p w14:paraId="4CED6B40" w14:textId="77777777" w:rsidR="003E57A0" w:rsidRDefault="003E57A0"/>
    <w:p w14:paraId="4D9CEBD5" w14:textId="77777777" w:rsidR="00753BBF" w:rsidRDefault="003E57A0">
      <w:r>
        <w:t xml:space="preserve">The </w:t>
      </w:r>
      <w:r w:rsidR="00006996">
        <w:t xml:space="preserve">limited </w:t>
      </w:r>
      <w:r>
        <w:t xml:space="preserve">evidence </w:t>
      </w:r>
      <w:r w:rsidR="00006996">
        <w:t xml:space="preserve">available </w:t>
      </w:r>
      <w:r>
        <w:t xml:space="preserve">is consistent with a behavioural response of users to a transport investment that takes place in three phases: initially time savings available for more work or leisure activities; fairly soon some of this time is used to make optional trips that are longer than previously made, for instance to access a more distant but superior shopping destination; and </w:t>
      </w:r>
      <w:r w:rsidR="00740C1C">
        <w:t>subsequently, as individuals change employment or move house, they are able to gain access to a wider choice of such opportunities, within travel time constraints</w:t>
      </w:r>
      <w:r>
        <w:t xml:space="preserve"> </w:t>
      </w:r>
      <w:r w:rsidR="00740C1C">
        <w:t xml:space="preserve">that they find acceptable. </w:t>
      </w:r>
      <w:r w:rsidR="00D63623">
        <w:t xml:space="preserve">These longer trips are </w:t>
      </w:r>
      <w:r w:rsidR="00520454">
        <w:t>an important</w:t>
      </w:r>
      <w:r w:rsidR="00D63623">
        <w:t xml:space="preserve"> source of induced traffic. </w:t>
      </w:r>
    </w:p>
    <w:p w14:paraId="3D337690" w14:textId="77777777" w:rsidR="00753BBF" w:rsidRDefault="00753BBF"/>
    <w:p w14:paraId="04A3741E" w14:textId="7EFD80A4" w:rsidR="004B1C29" w:rsidRDefault="00520454">
      <w:r>
        <w:t>The SACTRA (1994) study</w:t>
      </w:r>
      <w:r w:rsidR="004E1848">
        <w:t xml:space="preserve"> (para. 4.70)</w:t>
      </w:r>
      <w:r>
        <w:t xml:space="preserve"> </w:t>
      </w:r>
      <w:r w:rsidR="004E1848">
        <w:t>suggested a short-term elasticity of demand with respect to travel time of the order of about -0.5, and a long-term elasticity of the order -1.0, implying that most time saved would be used for additional travel in the long run</w:t>
      </w:r>
      <w:r w:rsidR="00A20B4E">
        <w:t xml:space="preserve">. More generally, the observed scale of </w:t>
      </w:r>
      <w:r w:rsidR="000226D6">
        <w:t xml:space="preserve">such </w:t>
      </w:r>
      <w:r w:rsidR="00A20B4E">
        <w:t>induced traffic would depend on the time elapsed after scheme</w:t>
      </w:r>
      <w:r w:rsidR="003D52E1">
        <w:t xml:space="preserve"> opening</w:t>
      </w:r>
      <w:r w:rsidR="003B111A">
        <w:t>, increasing over time</w:t>
      </w:r>
      <w:r w:rsidR="003D52E1">
        <w:t>.</w:t>
      </w:r>
      <w:r w:rsidR="00A20B4E">
        <w:t xml:space="preserve"> </w:t>
      </w:r>
      <w:r w:rsidR="00753BBF">
        <w:t xml:space="preserve">Induced traffic </w:t>
      </w:r>
      <w:r w:rsidR="003B111A">
        <w:t>increases</w:t>
      </w:r>
      <w:r w:rsidR="00753BBF">
        <w:t xml:space="preserve"> the detriments associated with vehicle distance travelled, including</w:t>
      </w:r>
      <w:r w:rsidR="003B111A">
        <w:t xml:space="preserve"> noxious pollutants, carbon emissions,</w:t>
      </w:r>
      <w:r w:rsidR="00D31DB6">
        <w:t xml:space="preserve"> noise, </w:t>
      </w:r>
      <w:r w:rsidR="003B111A">
        <w:t>crash-related injuries</w:t>
      </w:r>
      <w:r w:rsidR="000226D6">
        <w:t>, all of which are underestimated in conventional economic analysis based on time saving</w:t>
      </w:r>
      <w:r w:rsidR="003B111A">
        <w:t>. Induced traffic also adds to congestion, reducing travel time savings. But the additional trips made increase</w:t>
      </w:r>
      <w:r w:rsidR="000226D6">
        <w:t xml:space="preserve"> the</w:t>
      </w:r>
      <w:r w:rsidR="003B111A">
        <w:t xml:space="preserve"> access of users to desired destinations, which is in reality the main user benefit of transport investment.</w:t>
      </w:r>
    </w:p>
    <w:p w14:paraId="013F3445" w14:textId="70C4EE04" w:rsidR="00006996" w:rsidRDefault="00006996"/>
    <w:p w14:paraId="6EE6C7DF" w14:textId="4FD36E32" w:rsidR="00740C1C" w:rsidRPr="000B445F" w:rsidRDefault="00006996">
      <w:pPr>
        <w:rPr>
          <w:rFonts w:asciiTheme="majorHAnsi" w:hAnsiTheme="majorHAnsi" w:cstheme="majorHAnsi"/>
        </w:rPr>
      </w:pPr>
      <w:r w:rsidRPr="000B445F">
        <w:rPr>
          <w:rFonts w:asciiTheme="majorHAnsi" w:hAnsiTheme="majorHAnsi" w:cstheme="majorHAnsi"/>
        </w:rPr>
        <w:t>Access</w:t>
      </w:r>
    </w:p>
    <w:p w14:paraId="721FC678" w14:textId="77777777" w:rsidR="00006996" w:rsidRDefault="00006996"/>
    <w:p w14:paraId="28236A20" w14:textId="54C1A4F6" w:rsidR="001969C7" w:rsidRPr="001969C7" w:rsidRDefault="001969C7" w:rsidP="001969C7">
      <w:r>
        <w:t>As noted by the International Transport Forum (ITF, 2017), ‘A</w:t>
      </w:r>
      <w:r w:rsidRPr="001969C7">
        <w:t>ppraisal of transport projects has traditionally focused on travel time savings and congestion relief. However, there is a growing understanding that this misses the ultimate purpose of the transport system, which is to provide access to employment, goods, services and other opportunities.</w:t>
      </w:r>
      <w:r>
        <w:t>’</w:t>
      </w:r>
      <w:r w:rsidRPr="001969C7">
        <w:t xml:space="preserve"> </w:t>
      </w:r>
    </w:p>
    <w:p w14:paraId="2E9D2A05" w14:textId="77777777" w:rsidR="001969C7" w:rsidRDefault="001969C7"/>
    <w:p w14:paraId="62FFB752" w14:textId="5E3D1068" w:rsidR="005707BF" w:rsidRDefault="00740C1C">
      <w:r>
        <w:t>The concept</w:t>
      </w:r>
      <w:r w:rsidR="00C940C2">
        <w:t>s</w:t>
      </w:r>
      <w:r>
        <w:t xml:space="preserve"> of </w:t>
      </w:r>
      <w:r w:rsidR="00BC0286">
        <w:t xml:space="preserve">access and </w:t>
      </w:r>
      <w:r>
        <w:t>access</w:t>
      </w:r>
      <w:r w:rsidR="00BB0D3A">
        <w:t>ibility</w:t>
      </w:r>
      <w:r>
        <w:t xml:space="preserve"> ha</w:t>
      </w:r>
      <w:r w:rsidR="00BC0286">
        <w:t>ve</w:t>
      </w:r>
      <w:r>
        <w:t xml:space="preserve"> received considerable attention, with a variety of methodologies identified for </w:t>
      </w:r>
      <w:r w:rsidR="00006996">
        <w:t>quantifying improvements.</w:t>
      </w:r>
      <w:r w:rsidR="00BC0286">
        <w:t xml:space="preserve"> </w:t>
      </w:r>
      <w:proofErr w:type="spellStart"/>
      <w:r w:rsidR="00BC0286">
        <w:t>Geurs</w:t>
      </w:r>
      <w:proofErr w:type="spellEnd"/>
      <w:r w:rsidR="00BC0286">
        <w:t xml:space="preserve"> and van Wee (2004) </w:t>
      </w:r>
      <w:r w:rsidR="00A95896">
        <w:t>adopted</w:t>
      </w:r>
      <w:r w:rsidR="00BC0286">
        <w:t xml:space="preserve"> the term ‘access’ when considering a person’s perspective, and ‘accessibility’ </w:t>
      </w:r>
      <w:r w:rsidR="00D43046">
        <w:t>for</w:t>
      </w:r>
      <w:r w:rsidR="00BC0286">
        <w:t xml:space="preserve"> a location</w:t>
      </w:r>
      <w:r w:rsidR="001C51CA">
        <w:t>’</w:t>
      </w:r>
      <w:r w:rsidR="00BC0286">
        <w:t>s perspective</w:t>
      </w:r>
      <w:r w:rsidR="00A95896">
        <w:t xml:space="preserve">. </w:t>
      </w:r>
      <w:r w:rsidR="00D43046">
        <w:t>Both depend</w:t>
      </w:r>
      <w:r w:rsidR="001C51CA">
        <w:t xml:space="preserve"> on the pattern of land use and on t</w:t>
      </w:r>
      <w:r w:rsidR="00D43046">
        <w:t>ransport provision, and reflect</w:t>
      </w:r>
      <w:r w:rsidR="001C51CA">
        <w:t xml:space="preserve"> the needs of individuals and the time constraints under which they ope</w:t>
      </w:r>
      <w:r w:rsidR="00193D22">
        <w:t xml:space="preserve">rate. </w:t>
      </w:r>
      <w:proofErr w:type="spellStart"/>
      <w:r w:rsidR="00193D22">
        <w:t>Guers</w:t>
      </w:r>
      <w:proofErr w:type="spellEnd"/>
      <w:r w:rsidR="00193D22">
        <w:t xml:space="preserve"> and van Wee identified</w:t>
      </w:r>
      <w:r w:rsidR="001C51CA">
        <w:t xml:space="preserve"> four </w:t>
      </w:r>
      <w:r w:rsidR="00792759">
        <w:t xml:space="preserve">approaches to </w:t>
      </w:r>
      <w:r w:rsidR="00193D22">
        <w:t>quantifying</w:t>
      </w:r>
      <w:r w:rsidR="00C97C1F">
        <w:t xml:space="preserve"> accessibility: </w:t>
      </w:r>
      <w:r w:rsidR="00193D22">
        <w:t xml:space="preserve">measures of performance of the transport system, such as speed on a road network; measures that reflect access at particular locations, such as the number of jobs within 30 min travel time from origin locations; person-based measures, reflecting the activities in which an individual can participate in a given time; and </w:t>
      </w:r>
      <w:r w:rsidR="00193D22">
        <w:lastRenderedPageBreak/>
        <w:t xml:space="preserve">utility-based measures that reflect the economic benefits gained by individuals from access to spatially distributed activities. </w:t>
      </w:r>
    </w:p>
    <w:p w14:paraId="40E683C9" w14:textId="77777777" w:rsidR="005707BF" w:rsidRDefault="005707BF"/>
    <w:p w14:paraId="523DDB1F" w14:textId="48B44197" w:rsidR="00170959" w:rsidRDefault="00926B42">
      <w:r>
        <w:t xml:space="preserve">Utility-based measures of accessibility are in principle appropriate for the appraisal of proposed transport investments, but the theory is relatively complex and in consequence </w:t>
      </w:r>
      <w:r w:rsidR="007E1D06">
        <w:t>this approach had</w:t>
      </w:r>
      <w:r>
        <w:t xml:space="preserve"> not </w:t>
      </w:r>
      <w:r w:rsidR="00170959">
        <w:t xml:space="preserve">been </w:t>
      </w:r>
      <w:r w:rsidR="007E1D06">
        <w:t xml:space="preserve">generally </w:t>
      </w:r>
      <w:r>
        <w:t xml:space="preserve">employed in practice. However, as </w:t>
      </w:r>
      <w:proofErr w:type="spellStart"/>
      <w:r>
        <w:t>Guers</w:t>
      </w:r>
      <w:proofErr w:type="spellEnd"/>
      <w:r>
        <w:t xml:space="preserve"> and van Wee</w:t>
      </w:r>
      <w:r w:rsidR="005707BF">
        <w:t xml:space="preserve"> (2004)</w:t>
      </w:r>
      <w:r>
        <w:t xml:space="preserve"> note, utility-based measures show diminishing returns, consistent with the evidence for travel demand saturation (discussed below), and contrast to travel time savings</w:t>
      </w:r>
      <w:r w:rsidR="00170959">
        <w:t>,</w:t>
      </w:r>
      <w:r>
        <w:t xml:space="preserve"> for which diminishing returns are not assumed.</w:t>
      </w:r>
      <w:r w:rsidR="007E1D06">
        <w:t xml:space="preserve"> </w:t>
      </w:r>
      <w:r w:rsidR="00170959">
        <w:t>Venter (2016)</w:t>
      </w:r>
      <w:r w:rsidR="002E526D">
        <w:t xml:space="preserve"> </w:t>
      </w:r>
      <w:r w:rsidR="00D43046">
        <w:t>reviewed</w:t>
      </w:r>
      <w:r w:rsidR="007E1D06">
        <w:t xml:space="preserve"> utility-based measures of accessibility, identifying only a few examples of their use in practice</w:t>
      </w:r>
      <w:r w:rsidR="0026792F">
        <w:t xml:space="preserve"> (for example</w:t>
      </w:r>
      <w:r w:rsidR="004A33DF">
        <w:t xml:space="preserve"> </w:t>
      </w:r>
      <w:proofErr w:type="spellStart"/>
      <w:r w:rsidR="004A33DF">
        <w:t>Geurs</w:t>
      </w:r>
      <w:proofErr w:type="spellEnd"/>
      <w:r w:rsidR="004A33DF">
        <w:t xml:space="preserve"> et al</w:t>
      </w:r>
      <w:r w:rsidR="001E0556">
        <w:t>,</w:t>
      </w:r>
      <w:r w:rsidR="004A33DF">
        <w:t xml:space="preserve"> 2010)</w:t>
      </w:r>
      <w:r w:rsidR="007E1D06">
        <w:t>. He attribute</w:t>
      </w:r>
      <w:r w:rsidR="00D31DB6">
        <w:t>d</w:t>
      </w:r>
      <w:r w:rsidR="007E1D06">
        <w:t xml:space="preserve"> this to their dependence on complex destination/mode choice models in combination with integrated land use/transport models, </w:t>
      </w:r>
      <w:r w:rsidR="00A95896">
        <w:t>neither</w:t>
      </w:r>
      <w:r w:rsidR="007E1D06">
        <w:t xml:space="preserve"> in common use – a challenge in respect of both cost and communication to decision-makers.</w:t>
      </w:r>
      <w:r w:rsidR="00A7730C">
        <w:t xml:space="preserve"> Silva et al (2017) investigated why accessibility instruments are not widely used in practice, concluding that the main impediments were lack of user-friendliness and institutalization, as well as organisation barriers. </w:t>
      </w:r>
    </w:p>
    <w:p w14:paraId="3853FEDE" w14:textId="77777777" w:rsidR="005707BF" w:rsidRDefault="005707BF"/>
    <w:p w14:paraId="09654F96" w14:textId="0AE165BB" w:rsidR="005707BF" w:rsidRDefault="005707BF">
      <w:proofErr w:type="spellStart"/>
      <w:r>
        <w:t>Duranton</w:t>
      </w:r>
      <w:proofErr w:type="spellEnd"/>
      <w:r>
        <w:t xml:space="preserve"> and Guerra (2016) </w:t>
      </w:r>
      <w:r w:rsidR="007F0591">
        <w:t>argue</w:t>
      </w:r>
      <w:r>
        <w:t xml:space="preserve"> for the centrality of accessibility in thinking about urban development since it links land use, housing and transportation. </w:t>
      </w:r>
      <w:r w:rsidR="007F0591">
        <w:t xml:space="preserve">Accessibility emerges as the outcome of choices made by firms and residents. However, a theory of urban locations where both residents and firms would choose their locations remains elusive. While the </w:t>
      </w:r>
      <w:r w:rsidR="002C3DE4">
        <w:t>simplest</w:t>
      </w:r>
      <w:r w:rsidR="007F0591">
        <w:t xml:space="preserve"> stylized models yield </w:t>
      </w:r>
      <w:r w:rsidR="0017520F">
        <w:t>transparent</w:t>
      </w:r>
      <w:r w:rsidR="007F0591">
        <w:t xml:space="preserve"> results, changes to assumptions to reflect realism increase </w:t>
      </w:r>
      <w:r w:rsidR="002C3DE4">
        <w:t xml:space="preserve">both </w:t>
      </w:r>
      <w:r w:rsidR="007F0591">
        <w:t xml:space="preserve">complexity and </w:t>
      </w:r>
      <w:r w:rsidR="007D5A13">
        <w:t>the sensitivity of outcome</w:t>
      </w:r>
      <w:r w:rsidR="002C3DE4">
        <w:t>s</w:t>
      </w:r>
      <w:r w:rsidR="007D5A13">
        <w:t xml:space="preserve"> to place-dependent factors such as urban amenity or the cost of travel.</w:t>
      </w:r>
    </w:p>
    <w:p w14:paraId="7D8186D5" w14:textId="77777777" w:rsidR="00F304B7" w:rsidRDefault="00F304B7"/>
    <w:p w14:paraId="6D1E9382" w14:textId="6A508868" w:rsidR="00F304B7" w:rsidRDefault="00F304B7">
      <w:r>
        <w:t xml:space="preserve">While </w:t>
      </w:r>
      <w:r w:rsidR="00343BF1">
        <w:t xml:space="preserve">improved </w:t>
      </w:r>
      <w:r>
        <w:t>access</w:t>
      </w:r>
      <w:r w:rsidR="00343BF1">
        <w:t xml:space="preserve"> is the main user benefit resulting from transport investment, quantification and monetisation within a coherent theoretical framework </w:t>
      </w:r>
      <w:r w:rsidR="006E6413">
        <w:t>has proved</w:t>
      </w:r>
      <w:r w:rsidR="00343BF1">
        <w:t xml:space="preserve"> difficult</w:t>
      </w:r>
      <w:r w:rsidR="006E6413">
        <w:t>, with little application</w:t>
      </w:r>
      <w:r w:rsidR="00343BF1">
        <w:t xml:space="preserve"> in practice. Yet the expected diminishing returns f</w:t>
      </w:r>
      <w:r w:rsidR="001E0556">
        <w:t>rom</w:t>
      </w:r>
      <w:r w:rsidR="00343BF1">
        <w:t xml:space="preserve"> access are consistent with evidence for travel demand saturation.</w:t>
      </w:r>
    </w:p>
    <w:p w14:paraId="1A9C1936" w14:textId="77777777" w:rsidR="00343BF1" w:rsidRDefault="00343BF1"/>
    <w:p w14:paraId="547F4AF7" w14:textId="2028B46B" w:rsidR="00343BF1" w:rsidRPr="00A95896" w:rsidRDefault="00343BF1">
      <w:pPr>
        <w:rPr>
          <w:rFonts w:asciiTheme="majorHAnsi" w:hAnsiTheme="majorHAnsi" w:cstheme="majorHAnsi"/>
        </w:rPr>
      </w:pPr>
      <w:r w:rsidRPr="00A95896">
        <w:rPr>
          <w:rFonts w:asciiTheme="majorHAnsi" w:hAnsiTheme="majorHAnsi" w:cstheme="majorHAnsi"/>
        </w:rPr>
        <w:t>Travel demand saturation</w:t>
      </w:r>
    </w:p>
    <w:p w14:paraId="549E2EBB" w14:textId="77777777" w:rsidR="00343BF1" w:rsidRDefault="00343BF1"/>
    <w:p w14:paraId="5373AF2C" w14:textId="41A5DE78" w:rsidR="00343BF1" w:rsidRDefault="001B6671">
      <w:r>
        <w:t>Demand saturation</w:t>
      </w:r>
      <w:r w:rsidR="004D6525">
        <w:t xml:space="preserve"> is a general phenomenon, reflecting a sufficiency of supply of a product or service in relation to the needs of a consumer. </w:t>
      </w:r>
      <w:proofErr w:type="gramStart"/>
      <w:r w:rsidR="00C147EC">
        <w:t>Thus</w:t>
      </w:r>
      <w:proofErr w:type="gramEnd"/>
      <w:r w:rsidR="004D6525">
        <w:t xml:space="preserve"> ownership of many kinds of appliances may exceed 90 per cent of households. There is evidence that good levels of choice</w:t>
      </w:r>
      <w:r w:rsidR="00C147EC">
        <w:t xml:space="preserve"> of many kinds of services</w:t>
      </w:r>
      <w:r w:rsidR="004D6525">
        <w:t xml:space="preserve"> are available to those with use of a car or good public transport</w:t>
      </w:r>
      <w:r w:rsidR="00C147EC">
        <w:t xml:space="preserve">. For example, it has been estimated that 80 per cent of the urban population of Britain has access to three or more large supermarkets, and 60 per cent to four or more, within a 15-min drive. (Metz 2010, 2013). With such choice available, </w:t>
      </w:r>
      <w:r w:rsidR="00713F4F">
        <w:t xml:space="preserve">it is to be expected that </w:t>
      </w:r>
      <w:r w:rsidR="00C147EC">
        <w:t xml:space="preserve">there </w:t>
      </w:r>
      <w:r w:rsidR="00713F4F">
        <w:t>would be less need to travel further for yet more choice. Choice of food shops has increased in recent decades, the result of</w:t>
      </w:r>
      <w:r w:rsidR="00A95896">
        <w:t xml:space="preserve"> growth of</w:t>
      </w:r>
      <w:r w:rsidR="00713F4F">
        <w:t xml:space="preserve"> investment</w:t>
      </w:r>
      <w:r w:rsidR="00A95896">
        <w:t>s</w:t>
      </w:r>
      <w:r w:rsidR="00713F4F">
        <w:t xml:space="preserve"> by </w:t>
      </w:r>
      <w:r w:rsidR="00CC7FD5">
        <w:t>households</w:t>
      </w:r>
      <w:r w:rsidR="00713F4F">
        <w:t xml:space="preserve"> in cars, by governments in road capacity, and by the supermarket businesses in more stores</w:t>
      </w:r>
      <w:r w:rsidR="00F05C5F">
        <w:t xml:space="preserve">, </w:t>
      </w:r>
      <w:r w:rsidR="00A95896">
        <w:t>growth</w:t>
      </w:r>
      <w:r w:rsidR="00F05C5F">
        <w:t xml:space="preserve"> that </w:t>
      </w:r>
      <w:r w:rsidR="00A95896">
        <w:t>is</w:t>
      </w:r>
      <w:r w:rsidR="00F05C5F">
        <w:t xml:space="preserve"> now past </w:t>
      </w:r>
      <w:r w:rsidR="00A95896">
        <w:t>its</w:t>
      </w:r>
      <w:r w:rsidR="00F05C5F">
        <w:t xml:space="preserve"> peak.</w:t>
      </w:r>
    </w:p>
    <w:p w14:paraId="1095C3DC" w14:textId="77777777" w:rsidR="00F05C5F" w:rsidRDefault="00F05C5F"/>
    <w:p w14:paraId="2BB6849C" w14:textId="2EE7591F" w:rsidR="004A4E08" w:rsidRDefault="00D31DB6">
      <w:r>
        <w:lastRenderedPageBreak/>
        <w:t>S</w:t>
      </w:r>
      <w:r w:rsidR="004A4E08">
        <w:t>aturation</w:t>
      </w:r>
      <w:r>
        <w:t xml:space="preserve"> of travel demand</w:t>
      </w:r>
      <w:r w:rsidR="00E86990">
        <w:t xml:space="preserve"> </w:t>
      </w:r>
      <w:r w:rsidR="004A4E08">
        <w:t>is consistent with very</w:t>
      </w:r>
      <w:r w:rsidR="00F05C5F">
        <w:t xml:space="preserve"> simple model</w:t>
      </w:r>
      <w:r w:rsidR="004A4E08">
        <w:t xml:space="preserve"> of travel behaviour in which </w:t>
      </w:r>
      <w:r>
        <w:t xml:space="preserve">the </w:t>
      </w:r>
      <w:r w:rsidR="004A4E08">
        <w:t>marginal utility</w:t>
      </w:r>
      <w:r>
        <w:t xml:space="preserve"> of a service</w:t>
      </w:r>
      <w:r w:rsidR="004A4E08">
        <w:t xml:space="preserve"> declines with increasing choice, while </w:t>
      </w:r>
      <w:r w:rsidR="00F05C5F">
        <w:t>access and choice increase with the square of the speed of travel, since what may be accessed in a given travel time is related to the area of a circle</w:t>
      </w:r>
      <w:r w:rsidR="004A4E08">
        <w:t xml:space="preserve"> whose radius is proportional to speed.  </w:t>
      </w:r>
    </w:p>
    <w:p w14:paraId="3DAA03FE" w14:textId="77777777" w:rsidR="004F5D73" w:rsidRDefault="004F5D73"/>
    <w:p w14:paraId="3E67EF0E" w14:textId="33A925FF" w:rsidR="004F5D73" w:rsidRPr="00A95896" w:rsidRDefault="004F5D73">
      <w:pPr>
        <w:rPr>
          <w:rFonts w:asciiTheme="majorHAnsi" w:hAnsiTheme="majorHAnsi" w:cstheme="majorHAnsi"/>
        </w:rPr>
      </w:pPr>
      <w:r w:rsidRPr="00A95896">
        <w:rPr>
          <w:rFonts w:asciiTheme="majorHAnsi" w:hAnsiTheme="majorHAnsi" w:cstheme="majorHAnsi"/>
        </w:rPr>
        <w:t>Valuing transport investments</w:t>
      </w:r>
    </w:p>
    <w:p w14:paraId="7B23684C" w14:textId="77777777" w:rsidR="004F5D73" w:rsidRDefault="004F5D73"/>
    <w:p w14:paraId="18652273" w14:textId="566639E5" w:rsidR="004F5D73" w:rsidRDefault="004F5D73">
      <w:r>
        <w:t xml:space="preserve">The conventional approach to valuing transport investments, in which the main benefit is supposed to be travel time savings, has been well developed and is in wide use, based on the outputs of conventional transport models in which changes in land use are generally disregarded. The </w:t>
      </w:r>
      <w:r w:rsidR="00CF7956">
        <w:t>main shortcoming</w:t>
      </w:r>
      <w:r>
        <w:t xml:space="preserve"> of this approach </w:t>
      </w:r>
      <w:r w:rsidR="00CF7956">
        <w:t>is that</w:t>
      </w:r>
      <w:r w:rsidR="008F53B8">
        <w:t xml:space="preserve"> in reality</w:t>
      </w:r>
      <w:r w:rsidR="00CF7956">
        <w:t xml:space="preserve"> the benefits to users of such investment are </w:t>
      </w:r>
      <w:r w:rsidR="008F53B8">
        <w:t>experienced</w:t>
      </w:r>
      <w:r w:rsidR="00CF7956">
        <w:t xml:space="preserve"> largely as greater choices arising from improved access</w:t>
      </w:r>
      <w:r w:rsidR="008F53B8">
        <w:t xml:space="preserve"> - </w:t>
      </w:r>
      <w:r w:rsidR="00CF7956">
        <w:t>choices of employment, homes, services and social interactions, choices that are subject to diminishing returns. Moreover, access is inherently spatial, unlike time savings, and the spatial distribution of benefits is important for decision makers</w:t>
      </w:r>
      <w:r w:rsidR="00D9493F">
        <w:t xml:space="preserve"> (Metz, 2017)</w:t>
      </w:r>
      <w:r w:rsidR="00CF7956">
        <w:t>.</w:t>
      </w:r>
    </w:p>
    <w:p w14:paraId="0598461F" w14:textId="77777777" w:rsidR="00926B42" w:rsidRDefault="00926B42"/>
    <w:p w14:paraId="3FA735C4" w14:textId="77777777" w:rsidR="00E37DBE" w:rsidRDefault="00CF7956">
      <w:r>
        <w:t>The question is whether a better means of valuing transport investment could be devised. As discussed above, although in principle</w:t>
      </w:r>
      <w:r w:rsidR="00E37DBE">
        <w:t xml:space="preserve"> access would be a better measure of impact, </w:t>
      </w:r>
      <w:r>
        <w:t xml:space="preserve">it has proved difficult to attach economic value to </w:t>
      </w:r>
      <w:r w:rsidR="00E37DBE">
        <w:t>the concept and to employ it in practice.</w:t>
      </w:r>
    </w:p>
    <w:p w14:paraId="34C36F7D" w14:textId="77777777" w:rsidR="00E37DBE" w:rsidRDefault="00E37DBE"/>
    <w:p w14:paraId="119E5439" w14:textId="28A05D97" w:rsidR="00BF5021" w:rsidRDefault="00E37DBE">
      <w:r>
        <w:t>Another possibility would be to focus on changes in land</w:t>
      </w:r>
      <w:r w:rsidR="004D0B5A">
        <w:t xml:space="preserve"> use</w:t>
      </w:r>
      <w:r w:rsidR="005424A9">
        <w:t>, whether new development</w:t>
      </w:r>
      <w:r w:rsidR="008F53B8">
        <w:t>s</w:t>
      </w:r>
      <w:r w:rsidR="005424A9">
        <w:t xml:space="preserve"> or more inte</w:t>
      </w:r>
      <w:r w:rsidR="004D0B5A">
        <w:t>nsive use of existing properties,</w:t>
      </w:r>
      <w:r>
        <w:t xml:space="preserve"> that arise from the improved access</w:t>
      </w:r>
      <w:r w:rsidR="008F53B8">
        <w:t xml:space="preserve"> as</w:t>
      </w:r>
      <w:r>
        <w:t xml:space="preserve"> the result of transport investment. There are </w:t>
      </w:r>
      <w:r w:rsidR="001201A1">
        <w:t xml:space="preserve">a number of </w:t>
      </w:r>
      <w:r w:rsidR="00FC1A56">
        <w:t>studies</w:t>
      </w:r>
      <w:r>
        <w:t xml:space="preserve"> where the value of such changes ha</w:t>
      </w:r>
      <w:r w:rsidR="00A95896">
        <w:t>s</w:t>
      </w:r>
      <w:r>
        <w:t xml:space="preserve"> b</w:t>
      </w:r>
      <w:r w:rsidR="00FC1A56">
        <w:t>een estimated ex post. Mohammad et al (2013) carried out a meta-analysis of the impact of 23 rail projects on land and property values, finding a wide range of outcomes, dependent on contextual and methodological factors.</w:t>
      </w:r>
      <w:r w:rsidR="001201A1">
        <w:t xml:space="preserve"> </w:t>
      </w:r>
      <w:r w:rsidR="00C657AB">
        <w:t>Grimes and Liang (2010) used changes in land values to estimate the benefit</w:t>
      </w:r>
      <w:r w:rsidR="00D31DB6">
        <w:t>-</w:t>
      </w:r>
      <w:r w:rsidR="00C657AB">
        <w:t xml:space="preserve">cost ratio of an extension to a motorway in Auckland, New Zealand. </w:t>
      </w:r>
      <w:r w:rsidR="004D0B5A">
        <w:t xml:space="preserve">Lee, Lim and Leong (2018) have shown that the benefits of a new rail line in Singapore, as estimated from property value uplift and intensification, were greater </w:t>
      </w:r>
      <w:r w:rsidR="00B84E4D">
        <w:t>than convention time saving</w:t>
      </w:r>
      <w:r w:rsidR="00C657AB">
        <w:t>s</w:t>
      </w:r>
      <w:r w:rsidR="00B84E4D">
        <w:t xml:space="preserve"> and other user benefits.</w:t>
      </w:r>
      <w:r w:rsidR="001201A1">
        <w:t xml:space="preserve"> </w:t>
      </w:r>
      <w:r w:rsidR="00BF5021">
        <w:t xml:space="preserve">Sharma and Newman (2018) </w:t>
      </w:r>
      <w:r w:rsidR="00D01ADD">
        <w:t>found substantial increase</w:t>
      </w:r>
      <w:r w:rsidR="00C657AB">
        <w:t>s</w:t>
      </w:r>
      <w:r w:rsidR="00D01ADD">
        <w:t xml:space="preserve"> in property values in Bangalore</w:t>
      </w:r>
      <w:r w:rsidR="00E554CB">
        <w:t xml:space="preserve"> associated with the construction of an urban rail route.</w:t>
      </w:r>
      <w:r w:rsidR="000F3C1C">
        <w:t xml:space="preserve">  </w:t>
      </w:r>
      <w:r w:rsidR="002373CD">
        <w:t>Song et al (2019) estimated house price increas</w:t>
      </w:r>
      <w:r w:rsidR="007C3DE3">
        <w:t>es associated with extension of a light rail route in London.</w:t>
      </w:r>
    </w:p>
    <w:p w14:paraId="7E8EA999" w14:textId="77777777" w:rsidR="00E37DBE" w:rsidRDefault="00E37DBE"/>
    <w:p w14:paraId="6C9F66CC" w14:textId="0C9ED6C5" w:rsidR="001C51CA" w:rsidRDefault="00E37DBE">
      <w:r>
        <w:t xml:space="preserve">There </w:t>
      </w:r>
      <w:r w:rsidR="00A575DD">
        <w:t>appear</w:t>
      </w:r>
      <w:r w:rsidR="0092085C">
        <w:t>s</w:t>
      </w:r>
      <w:r w:rsidR="00A575DD">
        <w:t xml:space="preserve"> to be</w:t>
      </w:r>
      <w:r>
        <w:t xml:space="preserve"> </w:t>
      </w:r>
      <w:r w:rsidR="002F1AE1">
        <w:t xml:space="preserve">only a limited number of </w:t>
      </w:r>
      <w:r w:rsidR="00C1617A">
        <w:t>published</w:t>
      </w:r>
      <w:r w:rsidR="009439DE">
        <w:t xml:space="preserve"> </w:t>
      </w:r>
      <w:r>
        <w:t xml:space="preserve">cases </w:t>
      </w:r>
      <w:r w:rsidR="002F1AE1">
        <w:t>that attempt to justify</w:t>
      </w:r>
      <w:r>
        <w:t xml:space="preserve"> investment </w:t>
      </w:r>
      <w:r w:rsidR="004A1235">
        <w:t xml:space="preserve">by </w:t>
      </w:r>
      <w:proofErr w:type="spellStart"/>
      <w:r w:rsidR="002F1AE1">
        <w:t>ex ante</w:t>
      </w:r>
      <w:proofErr w:type="spellEnd"/>
      <w:r w:rsidR="002F1AE1">
        <w:t xml:space="preserve"> </w:t>
      </w:r>
      <w:r w:rsidR="00C90D6F">
        <w:t>forecast</w:t>
      </w:r>
      <w:r w:rsidR="002F1AE1">
        <w:t>s of</w:t>
      </w:r>
      <w:r w:rsidR="00C90D6F">
        <w:t xml:space="preserve"> increase in real estate valu</w:t>
      </w:r>
      <w:r w:rsidR="004A1235">
        <w:t>es</w:t>
      </w:r>
      <w:r>
        <w:t>. A study of the impact of proposed new river crossings in</w:t>
      </w:r>
      <w:r w:rsidR="00A575DD">
        <w:t xml:space="preserve"> east</w:t>
      </w:r>
      <w:r>
        <w:t xml:space="preserve"> London identified all major development sites within the </w:t>
      </w:r>
      <w:r w:rsidR="00F52462">
        <w:t xml:space="preserve">relevant </w:t>
      </w:r>
      <w:r>
        <w:t xml:space="preserve">area and assessed the scope for development as this </w:t>
      </w:r>
      <w:r w:rsidR="00F52462">
        <w:t xml:space="preserve">would be affected by the increased access to labour, customers and suppliers (TfL, 2014). Outputs were stated as numbers of residential units and </w:t>
      </w:r>
      <w:r w:rsidR="009439DE">
        <w:t xml:space="preserve">area of </w:t>
      </w:r>
      <w:r w:rsidR="00F52462">
        <w:t xml:space="preserve">floor space for </w:t>
      </w:r>
      <w:r w:rsidR="009439DE">
        <w:t>non-residential</w:t>
      </w:r>
      <w:r w:rsidR="00F52462">
        <w:t xml:space="preserve"> property. Although no attempt was made to ascribe monetary values to </w:t>
      </w:r>
      <w:r w:rsidR="009439DE">
        <w:t>these</w:t>
      </w:r>
      <w:r w:rsidR="00F52462">
        <w:t xml:space="preserve"> development</w:t>
      </w:r>
      <w:r w:rsidR="009439DE">
        <w:t>s, that</w:t>
      </w:r>
      <w:r w:rsidR="00F52462">
        <w:t xml:space="preserve"> would be a natural next step to </w:t>
      </w:r>
      <w:r w:rsidR="009439DE">
        <w:t>facilitate</w:t>
      </w:r>
      <w:r w:rsidR="00F52462">
        <w:t xml:space="preserve"> an economic appraisal of the proposed </w:t>
      </w:r>
      <w:r w:rsidR="009439DE">
        <w:lastRenderedPageBreak/>
        <w:t>river crossings</w:t>
      </w:r>
      <w:r w:rsidR="00F52462">
        <w:t xml:space="preserve"> based on changes in land use</w:t>
      </w:r>
      <w:r w:rsidR="009439DE">
        <w:t xml:space="preserve"> and real estate values</w:t>
      </w:r>
      <w:r w:rsidR="00F52462">
        <w:t>.</w:t>
      </w:r>
      <w:r w:rsidR="00195EA1">
        <w:t xml:space="preserve"> </w:t>
      </w:r>
      <w:r w:rsidR="009439DE">
        <w:t>This example illustrates how the outcome of decisions to make transport investment</w:t>
      </w:r>
      <w:r w:rsidR="00195EA1">
        <w:t>s depends on decisions by planners and developers. The conventional approach to transport economic appraisal that disregards changes in land use simplifies the modelling and analysis, at the cost of misleading decision makers about the nature of the ultimate benefits.</w:t>
      </w:r>
    </w:p>
    <w:p w14:paraId="549B724E" w14:textId="6A7D05C8" w:rsidR="00A575DD" w:rsidRDefault="00A575DD"/>
    <w:p w14:paraId="5953B5A0" w14:textId="62171A2D" w:rsidR="00A575DD" w:rsidRDefault="00A575DD">
      <w:r>
        <w:t xml:space="preserve">The UK National Infrastructure Commission </w:t>
      </w:r>
      <w:r w:rsidR="00A95896">
        <w:t xml:space="preserve">recently </w:t>
      </w:r>
      <w:r>
        <w:t>commissioned a study of how land values respond to changes in land use and infrastructure improvements, as a basis for informing</w:t>
      </w:r>
      <w:r w:rsidR="00D23086">
        <w:t xml:space="preserve"> future</w:t>
      </w:r>
      <w:r>
        <w:t xml:space="preserve"> investment decisions. Comprehensive property databases were drawn upon to </w:t>
      </w:r>
      <w:r w:rsidR="00111C0B">
        <w:t xml:space="preserve">model how prices depend on </w:t>
      </w:r>
      <w:r w:rsidR="00D23086">
        <w:t xml:space="preserve">property </w:t>
      </w:r>
      <w:r w:rsidR="00111C0B">
        <w:t>characteristics and location. This enabled creation of a web-based ‘property value uplift’ tool that can be used to calculate how values and rents of existing properties would respond to small scale investments in roads or public transport, a</w:t>
      </w:r>
      <w:r w:rsidR="00125DC1">
        <w:t>nd also</w:t>
      </w:r>
      <w:r w:rsidR="00111C0B">
        <w:t xml:space="preserve"> values for prospective new settlements</w:t>
      </w:r>
      <w:r w:rsidR="00CF4DF1">
        <w:t xml:space="preserve"> (Halket et al</w:t>
      </w:r>
      <w:r w:rsidR="00C657AB">
        <w:t>,</w:t>
      </w:r>
      <w:r w:rsidR="00CF4DF1">
        <w:t xml:space="preserve"> 2019)</w:t>
      </w:r>
      <w:r w:rsidR="00111C0B">
        <w:t>.</w:t>
      </w:r>
      <w:r w:rsidR="00C44E83">
        <w:t xml:space="preserve"> A similar study has quantified the relationship between transport and property values in the North of England</w:t>
      </w:r>
      <w:r w:rsidR="00030295">
        <w:t xml:space="preserve"> with a view to inclusion in the case for new investment (</w:t>
      </w:r>
      <w:proofErr w:type="spellStart"/>
      <w:r w:rsidR="00030295">
        <w:t>Nellthorp</w:t>
      </w:r>
      <w:proofErr w:type="spellEnd"/>
      <w:r w:rsidR="00030295">
        <w:t xml:space="preserve"> et al 2019).</w:t>
      </w:r>
      <w:r w:rsidR="00C44E83">
        <w:t xml:space="preserve"> </w:t>
      </w:r>
    </w:p>
    <w:p w14:paraId="0E295FBB" w14:textId="644A4B78" w:rsidR="00881D0D" w:rsidRDefault="00881D0D"/>
    <w:p w14:paraId="113E1FD3" w14:textId="23886116" w:rsidR="00881D0D" w:rsidRDefault="00881D0D">
      <w:r>
        <w:t xml:space="preserve">A policy </w:t>
      </w:r>
      <w:r w:rsidR="00C562B0">
        <w:t>objective</w:t>
      </w:r>
      <w:r>
        <w:t xml:space="preserve"> that has emerged recently in Britain is the desirability of making transport investments that would make land accessible for new housing, to help </w:t>
      </w:r>
      <w:r w:rsidR="00280B44">
        <w:t>accommodate</w:t>
      </w:r>
      <w:r>
        <w:t xml:space="preserve"> a growing population</w:t>
      </w:r>
      <w:r w:rsidR="0094022B">
        <w:t xml:space="preserve"> (</w:t>
      </w:r>
      <w:r w:rsidR="00660DAA">
        <w:t>DCLG, 2017)</w:t>
      </w:r>
      <w:r w:rsidR="004659D0">
        <w:t xml:space="preserve">. This has prompted consideration </w:t>
      </w:r>
      <w:r w:rsidR="00DD73DB">
        <w:t>of methodology to capture the housing benefits of transport investment</w:t>
      </w:r>
      <w:r>
        <w:t xml:space="preserve"> </w:t>
      </w:r>
      <w:r w:rsidR="00DD73DB">
        <w:t>(</w:t>
      </w:r>
      <w:proofErr w:type="spellStart"/>
      <w:r w:rsidR="00DD73DB">
        <w:t>DfT</w:t>
      </w:r>
      <w:proofErr w:type="spellEnd"/>
      <w:r w:rsidR="00DD73DB">
        <w:t>, 2019)</w:t>
      </w:r>
      <w:r>
        <w:t>. The conventional approach to transport appraisal does not include the uplift in real estate values in calculating the benefit</w:t>
      </w:r>
      <w:r w:rsidR="00197630">
        <w:t>-</w:t>
      </w:r>
      <w:r>
        <w:t>cost ratio on the grounds that this would double count economic benefits already included in time savings</w:t>
      </w:r>
      <w:r w:rsidR="008C5843">
        <w:t>. However,</w:t>
      </w:r>
      <w:r w:rsidR="0096031F">
        <w:t xml:space="preserve"> such uplift may be taken into account by decision makers in </w:t>
      </w:r>
      <w:r w:rsidR="008C5843">
        <w:t>judging</w:t>
      </w:r>
      <w:r w:rsidR="0096031F">
        <w:t xml:space="preserve"> the value for money of the investment </w:t>
      </w:r>
      <w:r w:rsidR="008C5843">
        <w:t>(</w:t>
      </w:r>
      <w:proofErr w:type="spellStart"/>
      <w:r w:rsidR="008C5843">
        <w:t>DfT</w:t>
      </w:r>
      <w:proofErr w:type="spellEnd"/>
      <w:r w:rsidR="008C5843">
        <w:t xml:space="preserve">, 2018). </w:t>
      </w:r>
      <w:r>
        <w:t xml:space="preserve">This approach is problematic, as an example may illustrate. Consider a proposal to construct a bypass around a town experiencing traffic congestion. The </w:t>
      </w:r>
      <w:r w:rsidR="00F12354">
        <w:t xml:space="preserve">conventional </w:t>
      </w:r>
      <w:r>
        <w:t xml:space="preserve">economic case </w:t>
      </w:r>
      <w:r w:rsidR="0001533A">
        <w:t>would</w:t>
      </w:r>
      <w:r>
        <w:t xml:space="preserve"> be based mainly on travel time savings</w:t>
      </w:r>
      <w:r w:rsidR="0001533A">
        <w:t xml:space="preserve"> plus accident savings and reduced vehicle operating costs. However, the new road may make agricultural land available for development, in which case developers may seek planning consent to build new houses. If consent were </w:t>
      </w:r>
      <w:r w:rsidR="00C562B0">
        <w:t>granted</w:t>
      </w:r>
      <w:r w:rsidR="0001533A">
        <w:t xml:space="preserve"> by the planners, the economic case for the road would be very different from what it would be without consent, as regards both traffic flows and </w:t>
      </w:r>
      <w:r w:rsidR="00F12354">
        <w:t xml:space="preserve">nature and scale of the </w:t>
      </w:r>
      <w:r w:rsidR="0001533A">
        <w:t>economic benefit</w:t>
      </w:r>
      <w:r w:rsidR="00197630">
        <w:t>s</w:t>
      </w:r>
      <w:r w:rsidR="0001533A">
        <w:t xml:space="preserve">. It </w:t>
      </w:r>
      <w:r w:rsidR="00F12354">
        <w:t xml:space="preserve">would be difficult </w:t>
      </w:r>
      <w:r w:rsidR="0001533A">
        <w:t>to argue that the additional economic value of the new houses would be captured in the time savings of the scheme without the housing.</w:t>
      </w:r>
    </w:p>
    <w:p w14:paraId="76329EE8" w14:textId="0F0710B6" w:rsidR="0001533A" w:rsidRDefault="0001533A"/>
    <w:p w14:paraId="1D18D549" w14:textId="4ED6D3B6" w:rsidR="0001533A" w:rsidRDefault="0001533A">
      <w:r>
        <w:t>The implication of travel time invariance is that transport investments would generally result in changes in land use. Decisions on such investments should therefore not be taken in isolation but in a tripartite collaboration involving planners, developers and transport authorities</w:t>
      </w:r>
      <w:r w:rsidR="00F12354">
        <w:t>, where related development could be taken into account.</w:t>
      </w:r>
    </w:p>
    <w:p w14:paraId="7DB76C92" w14:textId="77777777" w:rsidR="00195EA1" w:rsidRDefault="00195EA1"/>
    <w:p w14:paraId="43ECC00F" w14:textId="22A4932D" w:rsidR="006261BB" w:rsidRDefault="00C657AB" w:rsidP="006261BB">
      <w:r>
        <w:t>Addressing how changes in land use and values are affected by transport investment</w:t>
      </w:r>
      <w:r w:rsidR="005D413B">
        <w:t xml:space="preserve"> is relevant to the possibility of capturing some of the uplift in value that could be used to help fund the investment</w:t>
      </w:r>
      <w:r w:rsidR="006261BB">
        <w:t xml:space="preserve">, a topic of increasing </w:t>
      </w:r>
      <w:r w:rsidR="00F12354">
        <w:t>interest</w:t>
      </w:r>
      <w:r w:rsidR="006261BB">
        <w:t xml:space="preserve"> </w:t>
      </w:r>
      <w:r w:rsidR="006261BB">
        <w:lastRenderedPageBreak/>
        <w:t>(</w:t>
      </w:r>
      <w:proofErr w:type="spellStart"/>
      <w:r w:rsidR="006261BB">
        <w:t>Medda</w:t>
      </w:r>
      <w:proofErr w:type="spellEnd"/>
      <w:r w:rsidR="006261BB">
        <w:t>, 2012; TfL, 2017). For example</w:t>
      </w:r>
      <w:r w:rsidR="00D9493F">
        <w:t>,</w:t>
      </w:r>
      <w:r w:rsidR="006261BB">
        <w:t xml:space="preserve"> the extension of London’s Northern Line tube to </w:t>
      </w:r>
      <w:r w:rsidR="00D9493F">
        <w:t xml:space="preserve">a large brownfield site at </w:t>
      </w:r>
      <w:r w:rsidR="006261BB">
        <w:t>Battersea is costing £1 billion, to which the developers have contributed a quarter as cash and additional taxes paid by</w:t>
      </w:r>
      <w:r w:rsidR="006261BB" w:rsidRPr="00126BA3">
        <w:t xml:space="preserve"> </w:t>
      </w:r>
      <w:r w:rsidR="006261BB">
        <w:t>businesses locating in the area will contribute the remainder (Porter, 2014).</w:t>
      </w:r>
      <w:r w:rsidR="0017387F">
        <w:t xml:space="preserve"> This followed an earlier appraisal of a range of alternative property and transport investments, which identified extension of the tube as the preferred option (TfL, 2009).</w:t>
      </w:r>
    </w:p>
    <w:p w14:paraId="03448C6E" w14:textId="77777777" w:rsidR="001C51CA" w:rsidRDefault="001C51CA"/>
    <w:p w14:paraId="6BA8A4CC" w14:textId="2D63E609" w:rsidR="001C51CA" w:rsidRPr="0017387F" w:rsidRDefault="00C90D6F">
      <w:pPr>
        <w:rPr>
          <w:rFonts w:asciiTheme="majorHAnsi" w:hAnsiTheme="majorHAnsi" w:cstheme="majorHAnsi"/>
        </w:rPr>
      </w:pPr>
      <w:r w:rsidRPr="0017387F">
        <w:rPr>
          <w:rFonts w:asciiTheme="majorHAnsi" w:hAnsiTheme="majorHAnsi" w:cstheme="majorHAnsi"/>
        </w:rPr>
        <w:t>Conclusions</w:t>
      </w:r>
    </w:p>
    <w:p w14:paraId="3C5C97F4" w14:textId="77777777" w:rsidR="00395FA3" w:rsidRDefault="00395FA3"/>
    <w:p w14:paraId="3952E47F" w14:textId="67DDBC30" w:rsidR="00395FA3" w:rsidRDefault="00395FA3">
      <w:r>
        <w:t>The observed invariance of average travel time is arguably the most ubiquitous and secure characteristic of travel behaviour</w:t>
      </w:r>
      <w:r w:rsidRPr="00395FA3">
        <w:t xml:space="preserve"> </w:t>
      </w:r>
      <w:r>
        <w:t>at population level. There is reason to suppose that the hour a day average travel time dates back to the first settled agricultural communities</w:t>
      </w:r>
      <w:r w:rsidR="008F53B8">
        <w:t xml:space="preserve"> (Marchetti</w:t>
      </w:r>
      <w:r w:rsidR="00006ECF">
        <w:t>, 1994)</w:t>
      </w:r>
      <w:r>
        <w:t xml:space="preserve">. For the future, </w:t>
      </w:r>
      <w:r w:rsidR="003D10AE">
        <w:t xml:space="preserve">it would be appropriate for </w:t>
      </w:r>
      <w:r>
        <w:t xml:space="preserve">unchanging average travel time </w:t>
      </w:r>
      <w:r w:rsidR="003D10AE">
        <w:t>to</w:t>
      </w:r>
      <w:r>
        <w:t xml:space="preserve"> be a feature of central case projections, recognising th</w:t>
      </w:r>
      <w:r w:rsidR="00B54ED5">
        <w:t>at there would be variant cases</w:t>
      </w:r>
      <w:r>
        <w:t xml:space="preserve"> to reflect</w:t>
      </w:r>
      <w:r w:rsidR="00B54ED5">
        <w:t>,</w:t>
      </w:r>
      <w:r>
        <w:t xml:space="preserve"> for instance</w:t>
      </w:r>
      <w:r w:rsidR="00B54ED5">
        <w:t>,</w:t>
      </w:r>
      <w:r>
        <w:t xml:space="preserve"> the possibility that autonomous vehicles</w:t>
      </w:r>
      <w:r w:rsidR="00B54ED5">
        <w:t xml:space="preserve"> would </w:t>
      </w:r>
      <w:r w:rsidR="00006ECF">
        <w:t>permit</w:t>
      </w:r>
      <w:r w:rsidR="00B54ED5">
        <w:t xml:space="preserve"> more time being spent travelling.</w:t>
      </w:r>
    </w:p>
    <w:p w14:paraId="559DCEA0" w14:textId="77777777" w:rsidR="00B54ED5" w:rsidRDefault="00B54ED5"/>
    <w:p w14:paraId="219C525F" w14:textId="55A27C9F" w:rsidR="00C76373" w:rsidRDefault="00B54ED5">
      <w:r>
        <w:t>The observed invariant average travel time implies that the availability of time acts as a constraint o</w:t>
      </w:r>
      <w:r w:rsidR="00F12354">
        <w:t>n</w:t>
      </w:r>
      <w:r>
        <w:t xml:space="preserve"> travel behaviour</w:t>
      </w:r>
      <w:r w:rsidR="00291531">
        <w:t xml:space="preserve">, </w:t>
      </w:r>
      <w:r w:rsidR="00C870F6">
        <w:t>suggesting</w:t>
      </w:r>
      <w:r w:rsidR="00291531">
        <w:t xml:space="preserve"> both upper and lower bounds</w:t>
      </w:r>
      <w:r>
        <w:t xml:space="preserve">. A succession of </w:t>
      </w:r>
      <w:r w:rsidR="00966BEA">
        <w:t>i</w:t>
      </w:r>
      <w:r>
        <w:t xml:space="preserve">nnovative </w:t>
      </w:r>
      <w:r w:rsidR="00966BEA">
        <w:t xml:space="preserve">technologies, starting with the railway in the nineteenth century, permitted faster travel and hence </w:t>
      </w:r>
      <w:r w:rsidR="00C76373">
        <w:t>greater distances traversed</w:t>
      </w:r>
      <w:r w:rsidR="003D10AE">
        <w:t xml:space="preserve"> within the time constraint</w:t>
      </w:r>
      <w:r w:rsidR="00C76373">
        <w:t>, to gain more access to desired destination</w:t>
      </w:r>
      <w:r w:rsidR="00C90D6F">
        <w:t xml:space="preserve">s and choice of opportunities. </w:t>
      </w:r>
      <w:r w:rsidR="00C76373">
        <w:t xml:space="preserve">However, there is now little scope for </w:t>
      </w:r>
      <w:r w:rsidR="00C90D6F">
        <w:t xml:space="preserve">yet faster </w:t>
      </w:r>
      <w:r w:rsidR="00C76373">
        <w:t xml:space="preserve">travel in the developed economies, with new technologies such as electric or autonomous vehicles unlikely to make much </w:t>
      </w:r>
      <w:r w:rsidR="00C90D6F">
        <w:t>impact on speed</w:t>
      </w:r>
      <w:r w:rsidR="00C76373">
        <w:t>.</w:t>
      </w:r>
      <w:r w:rsidR="00C870F6">
        <w:t xml:space="preserve"> The time constraint therefore </w:t>
      </w:r>
      <w:r w:rsidR="003D10AE">
        <w:t>will limit</w:t>
      </w:r>
      <w:r w:rsidR="00C870F6">
        <w:t xml:space="preserve"> any increase in average distance travelled.</w:t>
      </w:r>
    </w:p>
    <w:p w14:paraId="72453C55" w14:textId="77777777" w:rsidR="00C76373" w:rsidRDefault="00C76373"/>
    <w:p w14:paraId="220CC47E" w14:textId="32D58155" w:rsidR="00B54ED5" w:rsidRDefault="00C76373">
      <w:r>
        <w:t xml:space="preserve">The travel time constraint is also </w:t>
      </w:r>
      <w:r w:rsidR="008A15EE">
        <w:t>a key explanatory factor in relation to</w:t>
      </w:r>
      <w:r>
        <w:t xml:space="preserve"> the </w:t>
      </w:r>
      <w:r w:rsidR="00C90D6F">
        <w:t>phenomenon</w:t>
      </w:r>
      <w:r>
        <w:t xml:space="preserve"> of road traffic congestion</w:t>
      </w:r>
      <w:r w:rsidR="008A15EE">
        <w:t>. As congestion increases, so do delays, the prospect of which deter som</w:t>
      </w:r>
      <w:r w:rsidR="00C90D6F">
        <w:t>e road users</w:t>
      </w:r>
      <w:r w:rsidR="008A15EE">
        <w:t xml:space="preserve"> who </w:t>
      </w:r>
      <w:r w:rsidR="00C90D6F">
        <w:t>make</w:t>
      </w:r>
      <w:r w:rsidR="008A15EE">
        <w:t xml:space="preserve"> alternative</w:t>
      </w:r>
      <w:r w:rsidR="00C90D6F">
        <w:t xml:space="preserve"> choices</w:t>
      </w:r>
      <w:r w:rsidR="003D10AE">
        <w:t>.</w:t>
      </w:r>
      <w:r w:rsidR="008A15EE">
        <w:t xml:space="preserve"> Congestion is </w:t>
      </w:r>
      <w:r w:rsidR="00C90D6F">
        <w:t xml:space="preserve">therefore </w:t>
      </w:r>
      <w:r w:rsidR="008A15EE">
        <w:t xml:space="preserve">largely self-regulating, but for the same reason difficult to mitigate, in that interventions designed to reduce car use by some groups in effect create </w:t>
      </w:r>
      <w:r w:rsidR="00C90D6F">
        <w:t xml:space="preserve">road </w:t>
      </w:r>
      <w:r w:rsidR="008A15EE">
        <w:t>space for others previously deterred</w:t>
      </w:r>
      <w:r w:rsidR="00C316F4">
        <w:t>, as does building additional carriageway</w:t>
      </w:r>
      <w:r w:rsidR="008A15EE">
        <w:t>.</w:t>
      </w:r>
      <w:r w:rsidR="00575C42">
        <w:t xml:space="preserve"> </w:t>
      </w:r>
      <w:r w:rsidR="00C870F6">
        <w:t>However</w:t>
      </w:r>
      <w:r w:rsidR="00575C42">
        <w:t xml:space="preserve">, the impact of congestion on road users can be </w:t>
      </w:r>
      <w:r w:rsidR="00C870F6">
        <w:t>mitigated</w:t>
      </w:r>
      <w:r w:rsidR="00575C42">
        <w:t xml:space="preserve"> by digital navigation technologies that </w:t>
      </w:r>
      <w:r w:rsidR="00C870F6">
        <w:t xml:space="preserve">take account of traffic conditions to </w:t>
      </w:r>
      <w:r w:rsidR="00575C42">
        <w:t xml:space="preserve">provide optimal routing and estimated journey times, thus reducing journey time uncertainty, </w:t>
      </w:r>
      <w:r w:rsidR="006A6599">
        <w:t>an important</w:t>
      </w:r>
      <w:r w:rsidR="00575C42">
        <w:t xml:space="preserve"> detriment arising from congestion.</w:t>
      </w:r>
    </w:p>
    <w:p w14:paraId="12815DB1" w14:textId="77777777" w:rsidR="008A15EE" w:rsidRDefault="008A15EE"/>
    <w:p w14:paraId="370FDE7C" w14:textId="2C7CE909" w:rsidR="008A15EE" w:rsidRDefault="008A15EE">
      <w:r>
        <w:t>The</w:t>
      </w:r>
      <w:r w:rsidR="00F54DF8">
        <w:t xml:space="preserve"> observed travel time invariance </w:t>
      </w:r>
      <w:r w:rsidR="008C220B">
        <w:t xml:space="preserve">implies </w:t>
      </w:r>
      <w:r w:rsidR="00C90D6F">
        <w:t>that there are</w:t>
      </w:r>
      <w:r w:rsidR="008C220B">
        <w:t xml:space="preserve"> reasons why the population as a whole do</w:t>
      </w:r>
      <w:r w:rsidR="0078726E">
        <w:t>es</w:t>
      </w:r>
      <w:r w:rsidR="008C220B">
        <w:t xml:space="preserve"> not take opportunities to reduce the amount of time spent travelling when offered that possibility by investment</w:t>
      </w:r>
      <w:r w:rsidR="00C90D6F">
        <w:t>s that permit</w:t>
      </w:r>
      <w:r w:rsidR="008C220B">
        <w:t xml:space="preserve"> faster travel. This implication </w:t>
      </w:r>
      <w:r w:rsidR="00F54DF8">
        <w:t xml:space="preserve">has not been recognised </w:t>
      </w:r>
      <w:r w:rsidR="00C870F6">
        <w:t>in conventional</w:t>
      </w:r>
      <w:r w:rsidR="00F54DF8">
        <w:t xml:space="preserve"> transport economi</w:t>
      </w:r>
      <w:r w:rsidR="00C870F6">
        <w:t>c analysis</w:t>
      </w:r>
      <w:r w:rsidR="00F54DF8">
        <w:t xml:space="preserve">, </w:t>
      </w:r>
      <w:r w:rsidR="00C870F6">
        <w:t>where it is</w:t>
      </w:r>
      <w:r w:rsidR="00F54DF8">
        <w:t xml:space="preserve"> assume</w:t>
      </w:r>
      <w:r w:rsidR="00C870F6">
        <w:t>d</w:t>
      </w:r>
      <w:r w:rsidR="00F54DF8">
        <w:t xml:space="preserve"> that travel time savings are the main </w:t>
      </w:r>
      <w:r w:rsidR="00C870F6">
        <w:t>user</w:t>
      </w:r>
      <w:r w:rsidR="00F54DF8">
        <w:t xml:space="preserve"> benefit of </w:t>
      </w:r>
      <w:r w:rsidR="008C220B">
        <w:t xml:space="preserve">such </w:t>
      </w:r>
      <w:r w:rsidR="00F54DF8">
        <w:t>investment</w:t>
      </w:r>
      <w:r w:rsidR="00F12354">
        <w:t xml:space="preserve"> (or, at least, an acceptable proxy for the user benefit)</w:t>
      </w:r>
      <w:r w:rsidR="008C220B">
        <w:t>.</w:t>
      </w:r>
      <w:r w:rsidR="00F54DF8">
        <w:t xml:space="preserve"> This approach derives from a simplifying </w:t>
      </w:r>
      <w:r w:rsidR="00C870F6">
        <w:t>assumption</w:t>
      </w:r>
      <w:r w:rsidR="00F54DF8">
        <w:t xml:space="preserve"> made at the outset </w:t>
      </w:r>
      <w:r w:rsidR="00C90D6F">
        <w:t>of the disciple, that</w:t>
      </w:r>
      <w:r w:rsidR="00F54DF8">
        <w:t xml:space="preserve"> origins and destinations of trips could be </w:t>
      </w:r>
      <w:r w:rsidR="00C870F6">
        <w:t>taken as</w:t>
      </w:r>
      <w:r w:rsidR="00F54DF8">
        <w:t xml:space="preserve"> unchanged. It </w:t>
      </w:r>
      <w:r w:rsidR="00F54DF8">
        <w:lastRenderedPageBreak/>
        <w:t>was subsequently recognised that travel demand would change as a result of reduction of the cost of travel (of which time costs are the main element), which prompted the development of variable demand transport models</w:t>
      </w:r>
      <w:r w:rsidR="00C90D6F">
        <w:t>.</w:t>
      </w:r>
      <w:r w:rsidR="00F54DF8">
        <w:t xml:space="preserve"> </w:t>
      </w:r>
      <w:r w:rsidR="00E818A3">
        <w:t xml:space="preserve">Nevertheless, the output of such models takes the form of traffic volumes and speeds, </w:t>
      </w:r>
      <w:r w:rsidR="003D10AE">
        <w:t>permitting comparison of</w:t>
      </w:r>
      <w:r w:rsidR="00E818A3">
        <w:t xml:space="preserve"> the ‘do something’ </w:t>
      </w:r>
      <w:r w:rsidR="003D10AE">
        <w:t xml:space="preserve">investment </w:t>
      </w:r>
      <w:r w:rsidR="00E818A3">
        <w:t xml:space="preserve">case with the ‘do minimum’ case, the resulting time savings being the main input to the cost-benefit </w:t>
      </w:r>
      <w:r w:rsidR="00FE6F3A">
        <w:t>calculation</w:t>
      </w:r>
      <w:r w:rsidR="00E818A3">
        <w:t xml:space="preserve">. </w:t>
      </w:r>
      <w:r w:rsidR="00994829">
        <w:t xml:space="preserve">Arguably, a better simplifying assumption would have been </w:t>
      </w:r>
      <w:r w:rsidR="00FE6F3A">
        <w:t xml:space="preserve">to suppose </w:t>
      </w:r>
      <w:r w:rsidR="00994829">
        <w:t xml:space="preserve">that average travel time is invariant, so that the consequences of investment </w:t>
      </w:r>
      <w:r w:rsidR="0078726E">
        <w:t>would be</w:t>
      </w:r>
      <w:r w:rsidR="00994829">
        <w:t xml:space="preserve"> user benefits </w:t>
      </w:r>
      <w:r w:rsidR="00FE6F3A">
        <w:t xml:space="preserve">in the form </w:t>
      </w:r>
      <w:r w:rsidR="00994829">
        <w:t>of enhanced access, which impact</w:t>
      </w:r>
      <w:r w:rsidR="0078726E">
        <w:t>s</w:t>
      </w:r>
      <w:r w:rsidR="00994829">
        <w:t xml:space="preserve"> on land use and shift</w:t>
      </w:r>
      <w:r w:rsidR="0078726E">
        <w:t>s</w:t>
      </w:r>
      <w:r w:rsidR="00994829">
        <w:t xml:space="preserve"> economic benefit to real estate owners</w:t>
      </w:r>
      <w:r w:rsidR="003A5859">
        <w:t>, as well as giving rise to additional traffic – induced traffic.</w:t>
      </w:r>
    </w:p>
    <w:p w14:paraId="12E945AB" w14:textId="77777777" w:rsidR="00994829" w:rsidRDefault="00994829"/>
    <w:p w14:paraId="3C5E2F5E" w14:textId="0FCBC7D6" w:rsidR="0078726E" w:rsidRDefault="00994829">
      <w:r>
        <w:t>The assumption of travel time saving as the main benefit from</w:t>
      </w:r>
      <w:r w:rsidR="00642C7C">
        <w:t xml:space="preserve"> road</w:t>
      </w:r>
      <w:r>
        <w:t xml:space="preserve"> investment leads to underestimation of induced traffic</w:t>
      </w:r>
      <w:r w:rsidR="0078726E">
        <w:t>. Such additional traffic</w:t>
      </w:r>
      <w:r>
        <w:t xml:space="preserve"> </w:t>
      </w:r>
      <w:r w:rsidR="00FE6F3A">
        <w:t>increases</w:t>
      </w:r>
      <w:r w:rsidR="00D9493F">
        <w:t xml:space="preserve"> both vehicle operating costs and</w:t>
      </w:r>
      <w:r w:rsidR="00FE6F3A">
        <w:t xml:space="preserve"> traffic-related </w:t>
      </w:r>
      <w:r>
        <w:t xml:space="preserve">externalities such as congestion, noxious emissions, carbon emissions, noise and </w:t>
      </w:r>
      <w:r w:rsidR="00FE6F3A">
        <w:t>collisions</w:t>
      </w:r>
      <w:r>
        <w:t xml:space="preserve">. </w:t>
      </w:r>
      <w:r w:rsidR="00642C7C">
        <w:t xml:space="preserve">Decision makers </w:t>
      </w:r>
      <w:r w:rsidR="0017387F">
        <w:t xml:space="preserve">are </w:t>
      </w:r>
      <w:r w:rsidR="00642C7C">
        <w:t xml:space="preserve">generally </w:t>
      </w:r>
      <w:r w:rsidR="0017387F">
        <w:t xml:space="preserve">led to </w:t>
      </w:r>
      <w:r w:rsidR="00642C7C">
        <w:t>believe that road investment</w:t>
      </w:r>
      <w:r w:rsidR="0078726E">
        <w:t>s</w:t>
      </w:r>
      <w:r w:rsidR="00642C7C">
        <w:t xml:space="preserve"> will reduce congestion and </w:t>
      </w:r>
      <w:r w:rsidR="00FE6F3A">
        <w:t>improve</w:t>
      </w:r>
      <w:r w:rsidR="00642C7C">
        <w:t xml:space="preserve"> </w:t>
      </w:r>
      <w:r w:rsidR="00FE6F3A">
        <w:t>connectivity</w:t>
      </w:r>
      <w:r w:rsidR="00642C7C">
        <w:t xml:space="preserve">, which is not consistent with the experience that </w:t>
      </w:r>
      <w:r w:rsidR="003D10AE">
        <w:t>it is not in practice possible</w:t>
      </w:r>
      <w:r w:rsidR="00642C7C">
        <w:t xml:space="preserve"> build our way out of congestion. What additional road capacity can achieve is to increase the number</w:t>
      </w:r>
      <w:r w:rsidR="003A5859">
        <w:t xml:space="preserve"> and length</w:t>
      </w:r>
      <w:r w:rsidR="00642C7C">
        <w:t xml:space="preserve"> of trips made, which has economic benefit for those making them, yet the additional volume of traffic has offsetting externality disbenefits.</w:t>
      </w:r>
      <w:r w:rsidR="0078726E">
        <w:t xml:space="preserve"> T</w:t>
      </w:r>
      <w:r w:rsidR="008C220B">
        <w:t xml:space="preserve">he conventional approach to the economic appraisal of investments based on time savings </w:t>
      </w:r>
      <w:r w:rsidR="0078726E">
        <w:t xml:space="preserve">thus </w:t>
      </w:r>
      <w:r w:rsidR="0017387F">
        <w:t xml:space="preserve">tends to </w:t>
      </w:r>
      <w:r w:rsidR="008C220B">
        <w:t xml:space="preserve">lead to </w:t>
      </w:r>
      <w:r w:rsidR="007A7A66">
        <w:t xml:space="preserve">excessive investment in additional road capacity </w:t>
      </w:r>
      <w:r w:rsidR="0078726E">
        <w:t>through underestimation of induced traffic.</w:t>
      </w:r>
    </w:p>
    <w:p w14:paraId="72803C90" w14:textId="77777777" w:rsidR="0078726E" w:rsidRDefault="0078726E"/>
    <w:p w14:paraId="0966B4B9" w14:textId="5815C165" w:rsidR="00AF26FA" w:rsidRDefault="0078726E">
      <w:r>
        <w:t>In contrast, the conventional approach to economic appraisal</w:t>
      </w:r>
      <w:r w:rsidR="00B2791B">
        <w:t xml:space="preserve"> tends to result in</w:t>
      </w:r>
      <w:r w:rsidR="007A7A66">
        <w:t xml:space="preserve"> too little investment in urban rail</w:t>
      </w:r>
      <w:r w:rsidR="00B2791B">
        <w:t xml:space="preserve">, </w:t>
      </w:r>
      <w:r w:rsidR="007A7A66">
        <w:t>for which the scope for real estate development is insufficiently recognised. What is needed</w:t>
      </w:r>
      <w:r w:rsidR="00B2791B">
        <w:t xml:space="preserve"> for all transport investment</w:t>
      </w:r>
      <w:r w:rsidR="007A7A66">
        <w:t xml:space="preserve"> is an approach based on valuing actual outcomes, of both benefit and disbenefit</w:t>
      </w:r>
      <w:r w:rsidR="0017387F">
        <w:t>s</w:t>
      </w:r>
      <w:r w:rsidR="007A7A66">
        <w:t>, rather than theoretical time savings. Time savings should be taken into account when observed, as should changes in real estate values and externalities. Double counting of benefits is avoided in an evidence-based approach</w:t>
      </w:r>
      <w:r w:rsidR="00AF26FA">
        <w:t xml:space="preserve"> since</w:t>
      </w:r>
      <w:r w:rsidR="007A7A66">
        <w:t xml:space="preserve"> </w:t>
      </w:r>
      <w:r w:rsidR="00AF26FA">
        <w:t xml:space="preserve">users take benefits either as access or as time savings, </w:t>
      </w:r>
      <w:r w:rsidR="00B2791B">
        <w:t xml:space="preserve">but </w:t>
      </w:r>
      <w:r w:rsidR="00AF26FA">
        <w:t>not both simultaneously.</w:t>
      </w:r>
    </w:p>
    <w:p w14:paraId="7C063CFB" w14:textId="77777777" w:rsidR="00AF26FA" w:rsidRDefault="00AF26FA"/>
    <w:p w14:paraId="49EEFF90" w14:textId="73C004FB" w:rsidR="00AF26FA" w:rsidRDefault="00B2791B">
      <w:r>
        <w:t>Existing</w:t>
      </w:r>
      <w:r w:rsidR="00AF26FA">
        <w:t xml:space="preserve"> approaches to </w:t>
      </w:r>
      <w:r w:rsidR="003A5859">
        <w:t xml:space="preserve">transport </w:t>
      </w:r>
      <w:r w:rsidR="00AF26FA">
        <w:t xml:space="preserve">modelling </w:t>
      </w:r>
      <w:r>
        <w:t>are</w:t>
      </w:r>
      <w:r w:rsidR="00AF26FA">
        <w:t xml:space="preserve"> problematic. Conventional four-stage models disregard changes in land use. Both fixed trip and variable demand versions do not recognise travel time invariance. Models constrained to hold average travel time constant</w:t>
      </w:r>
      <w:r>
        <w:t xml:space="preserve"> in the long run</w:t>
      </w:r>
      <w:r w:rsidR="00AF26FA">
        <w:t xml:space="preserve"> would necessarily need to </w:t>
      </w:r>
      <w:r>
        <w:t>project changes in</w:t>
      </w:r>
      <w:r w:rsidR="00AF26FA">
        <w:t xml:space="preserve"> land use, yet land-use/transport models have not entered into general use.</w:t>
      </w:r>
    </w:p>
    <w:p w14:paraId="516A8701" w14:textId="77777777" w:rsidR="00AF26FA" w:rsidRDefault="00AF26FA"/>
    <w:p w14:paraId="32B9793C" w14:textId="1EAEFA78" w:rsidR="008C220B" w:rsidRDefault="00AF26FA">
      <w:r>
        <w:t>One possible way forward would be to aim to model land-use/transport</w:t>
      </w:r>
      <w:r w:rsidR="007A7A66">
        <w:t xml:space="preserve"> </w:t>
      </w:r>
      <w:r>
        <w:t>interactions in a site-specific</w:t>
      </w:r>
      <w:r w:rsidR="004E6BAB">
        <w:t>, bottom-up</w:t>
      </w:r>
      <w:r>
        <w:t xml:space="preserve"> way, rather than through a general </w:t>
      </w:r>
      <w:r w:rsidR="004E6BAB">
        <w:t xml:space="preserve">top-down </w:t>
      </w:r>
      <w:r>
        <w:t>approach</w:t>
      </w:r>
      <w:r w:rsidR="004E6BAB">
        <w:t>. The example of the River Thames Crossing cited above illustrate</w:t>
      </w:r>
      <w:r w:rsidR="005F48E7">
        <w:t>s the</w:t>
      </w:r>
      <w:r w:rsidR="004E6BAB">
        <w:t xml:space="preserve"> possibility of such location-specific analysis. This is </w:t>
      </w:r>
      <w:r w:rsidR="005F48E7">
        <w:t>necessarily</w:t>
      </w:r>
      <w:r w:rsidR="004E6BAB">
        <w:t xml:space="preserve"> the approach of developers when offered the opportunity to contribute to the cost of transport infrastructure that </w:t>
      </w:r>
      <w:r w:rsidR="005F48E7">
        <w:t>would</w:t>
      </w:r>
      <w:r w:rsidR="004E6BAB">
        <w:t xml:space="preserve"> enhance the value of their land, as for </w:t>
      </w:r>
      <w:r w:rsidR="004E6BAB">
        <w:lastRenderedPageBreak/>
        <w:t>example the extension to London’s Northern Line tube to Battersea</w:t>
      </w:r>
      <w:r w:rsidR="00E7437D">
        <w:t>, discussed above</w:t>
      </w:r>
      <w:r w:rsidR="0017387F">
        <w:t xml:space="preserve">. </w:t>
      </w:r>
      <w:r w:rsidR="00B2791B">
        <w:t>The ‘property value uplift’ tool, commissioned by the National Infrastructure Commission</w:t>
      </w:r>
      <w:r w:rsidR="0017387F">
        <w:t>,</w:t>
      </w:r>
      <w:r w:rsidR="00B2791B">
        <w:t xml:space="preserve"> could form the basis of a general approach to incorporating the benefits of enhanced real estate values into economic appraisal of transport investments in a spatially specific manner.</w:t>
      </w:r>
    </w:p>
    <w:p w14:paraId="07EC4057" w14:textId="77777777" w:rsidR="00126BA3" w:rsidRDefault="00126BA3"/>
    <w:p w14:paraId="0D6D0E3E" w14:textId="47BDE836" w:rsidR="00126BA3" w:rsidRDefault="006A6D04">
      <w:r>
        <w:t>The function of the transport system is to move people through space. Investment results in more such movement, whether to achieve higher speeds so that people travel f</w:t>
      </w:r>
      <w:r w:rsidR="003A5859">
        <w:t>u</w:t>
      </w:r>
      <w:r>
        <w:t xml:space="preserve">rther in the time available, or in more capacity at unchanged speed so that more people are able to </w:t>
      </w:r>
      <w:r w:rsidR="003D10AE">
        <w:t>travel</w:t>
      </w:r>
      <w:r>
        <w:t xml:space="preserve">. In either case, land use </w:t>
      </w:r>
      <w:r w:rsidR="009A4B86">
        <w:t xml:space="preserve">is likely to </w:t>
      </w:r>
      <w:r>
        <w:t xml:space="preserve">change, with corresponding changes in real estate values, depending on decisions of planners and developers. </w:t>
      </w:r>
      <w:r w:rsidR="0017387F">
        <w:t>Conventional e</w:t>
      </w:r>
      <w:r w:rsidR="00280E60">
        <w:t xml:space="preserve">conomic appraisal </w:t>
      </w:r>
      <w:r w:rsidR="003A5859">
        <w:t>neglects</w:t>
      </w:r>
      <w:r w:rsidR="00280E60">
        <w:t xml:space="preserve"> the spatial distribution of benefits</w:t>
      </w:r>
      <w:r w:rsidR="0017387F">
        <w:t xml:space="preserve"> through its focus on notional time savings. Recognising the invariance of average travel time would </w:t>
      </w:r>
      <w:r w:rsidR="00DD33E1">
        <w:t>enhance the relevance of appraisal to decision makers.</w:t>
      </w:r>
    </w:p>
    <w:p w14:paraId="01A08D53" w14:textId="77777777" w:rsidR="00DD33E1" w:rsidRDefault="00DD33E1" w:rsidP="00DD33E1"/>
    <w:p w14:paraId="075A5151" w14:textId="77777777" w:rsidR="00DD33E1" w:rsidRPr="00DD33E1" w:rsidRDefault="00DD33E1" w:rsidP="00DD33E1">
      <w:pPr>
        <w:rPr>
          <w:rFonts w:asciiTheme="majorHAnsi" w:hAnsiTheme="majorHAnsi" w:cstheme="majorHAnsi"/>
        </w:rPr>
      </w:pPr>
      <w:r w:rsidRPr="00DD33E1">
        <w:rPr>
          <w:rFonts w:asciiTheme="majorHAnsi" w:hAnsiTheme="majorHAnsi" w:cstheme="majorHAnsi"/>
        </w:rPr>
        <w:t>References</w:t>
      </w:r>
    </w:p>
    <w:p w14:paraId="0E8A1B34" w14:textId="77777777" w:rsidR="005D5A1D" w:rsidRDefault="005D5A1D" w:rsidP="005D5A1D">
      <w:pPr>
        <w:pStyle w:val="NormalWeb"/>
      </w:pPr>
      <w:r w:rsidRPr="005D5A1D">
        <w:rPr>
          <w:rFonts w:asciiTheme="minorHAnsi" w:eastAsiaTheme="minorEastAsia" w:hAnsiTheme="minorHAnsi" w:cstheme="minorBidi"/>
          <w:lang w:eastAsia="en-US"/>
        </w:rPr>
        <w:t xml:space="preserve">Ahmed, A., and P. </w:t>
      </w:r>
      <w:proofErr w:type="spellStart"/>
      <w:r w:rsidRPr="005D5A1D">
        <w:rPr>
          <w:rFonts w:asciiTheme="minorHAnsi" w:eastAsiaTheme="minorEastAsia" w:hAnsiTheme="minorHAnsi" w:cstheme="minorBidi"/>
          <w:lang w:eastAsia="en-US"/>
        </w:rPr>
        <w:t>Stopher</w:t>
      </w:r>
      <w:proofErr w:type="spellEnd"/>
      <w:r w:rsidRPr="005D5A1D">
        <w:rPr>
          <w:rFonts w:asciiTheme="minorHAnsi" w:eastAsiaTheme="minorEastAsia" w:hAnsiTheme="minorHAnsi" w:cstheme="minorBidi"/>
          <w:lang w:eastAsia="en-US"/>
        </w:rPr>
        <w:t>. 2014. “Seventy Minutes Plus or Minus 10-a Review of Travel Time Budget Studies.” Transport Reviews 34 (5): 607–625</w:t>
      </w:r>
      <w:r>
        <w:rPr>
          <w:rFonts w:ascii="AdvOT1ef757c0" w:hAnsi="AdvOT1ef757c0"/>
          <w:sz w:val="20"/>
          <w:szCs w:val="20"/>
        </w:rPr>
        <w:t xml:space="preserve">. </w:t>
      </w:r>
    </w:p>
    <w:p w14:paraId="07C0BA4D" w14:textId="7D622440" w:rsidR="00DD33E1" w:rsidRDefault="00DD33E1" w:rsidP="00DD33E1">
      <w:r>
        <w:t xml:space="preserve">Beck, M., Hess, S., Cabral, M. and </w:t>
      </w:r>
      <w:proofErr w:type="spellStart"/>
      <w:r>
        <w:t>Dubernet</w:t>
      </w:r>
      <w:proofErr w:type="spellEnd"/>
      <w:r>
        <w:t xml:space="preserve">, I. (2017). </w:t>
      </w:r>
      <w:r w:rsidRPr="00D02E1A">
        <w:t>Valuing travel time savings: A c</w:t>
      </w:r>
      <w:r>
        <w:t>ase of short-term or long-</w:t>
      </w:r>
      <w:r w:rsidRPr="00D02E1A">
        <w:t>term choices?</w:t>
      </w:r>
      <w:r>
        <w:t xml:space="preserve"> </w:t>
      </w:r>
      <w:r w:rsidRPr="00B108D3">
        <w:rPr>
          <w:i/>
        </w:rPr>
        <w:t xml:space="preserve">Transportation Research </w:t>
      </w:r>
      <w:r w:rsidR="00B108D3" w:rsidRPr="00B108D3">
        <w:rPr>
          <w:i/>
        </w:rPr>
        <w:t>P</w:t>
      </w:r>
      <w:r w:rsidRPr="00B108D3">
        <w:rPr>
          <w:i/>
        </w:rPr>
        <w:t>art E</w:t>
      </w:r>
      <w:r>
        <w:t>, 100, 133-143.</w:t>
      </w:r>
    </w:p>
    <w:p w14:paraId="07B7C047" w14:textId="77777777" w:rsidR="00DD33E1" w:rsidRDefault="00DD33E1" w:rsidP="00DD33E1"/>
    <w:p w14:paraId="2F582AA4" w14:textId="2D3CF346" w:rsidR="00DD33E1" w:rsidRDefault="00DD33E1" w:rsidP="00DD33E1">
      <w:pPr>
        <w:rPr>
          <w:rFonts w:eastAsia="Times New Roman" w:cs="Times New Roman"/>
        </w:rPr>
      </w:pPr>
      <w:r w:rsidRPr="00371C11">
        <w:t>Daly,</w:t>
      </w:r>
      <w:r>
        <w:t xml:space="preserve"> A., </w:t>
      </w:r>
      <w:r w:rsidRPr="00371C11">
        <w:t>Tsang,</w:t>
      </w:r>
      <w:r>
        <w:t xml:space="preserve"> F. and</w:t>
      </w:r>
      <w:r w:rsidRPr="00371C11">
        <w:t xml:space="preserve"> Rohr</w:t>
      </w:r>
      <w:r>
        <w:t>, C. (2014).</w:t>
      </w:r>
      <w:r w:rsidRPr="003754D1">
        <w:t xml:space="preserve"> </w:t>
      </w:r>
      <w:r w:rsidRPr="00371C11">
        <w:t>The Value of Small Time Savings for</w:t>
      </w:r>
      <w:r>
        <w:t xml:space="preserve"> </w:t>
      </w:r>
      <w:r w:rsidRPr="00371C11">
        <w:t>Non-business Travel</w:t>
      </w:r>
      <w:r>
        <w:t xml:space="preserve">. </w:t>
      </w:r>
      <w:r w:rsidRPr="00B108D3">
        <w:rPr>
          <w:rFonts w:eastAsia="Times New Roman" w:cs="Times New Roman"/>
          <w:i/>
        </w:rPr>
        <w:t>Journal of Transport Economics and Policy</w:t>
      </w:r>
      <w:r>
        <w:rPr>
          <w:rFonts w:eastAsia="Times New Roman" w:cs="Times New Roman"/>
        </w:rPr>
        <w:t>, 48(2), 205–218.</w:t>
      </w:r>
    </w:p>
    <w:p w14:paraId="6468924E" w14:textId="77777777" w:rsidR="00DD33E1" w:rsidRDefault="00DD33E1" w:rsidP="00DD33E1">
      <w:pPr>
        <w:rPr>
          <w:rFonts w:eastAsia="Times New Roman" w:cs="Times New Roman"/>
        </w:rPr>
      </w:pPr>
    </w:p>
    <w:p w14:paraId="1AC1AFCA" w14:textId="2DBDB0DC" w:rsidR="00DD33E1" w:rsidRDefault="00DD33E1" w:rsidP="00DD33E1">
      <w:pPr>
        <w:rPr>
          <w:rFonts w:eastAsia="Times New Roman" w:cs="Times New Roman"/>
        </w:rPr>
      </w:pPr>
      <w:r>
        <w:rPr>
          <w:rFonts w:eastAsia="Times New Roman" w:cs="Times New Roman"/>
        </w:rPr>
        <w:t xml:space="preserve">DCLG (2017). </w:t>
      </w:r>
      <w:r w:rsidRPr="00B108D3">
        <w:rPr>
          <w:rFonts w:eastAsia="Times New Roman" w:cs="Times New Roman"/>
          <w:i/>
        </w:rPr>
        <w:t>Housing Infrastructure Fund: Supporting Document for Forward Funding</w:t>
      </w:r>
      <w:r>
        <w:rPr>
          <w:rFonts w:eastAsia="Times New Roman" w:cs="Times New Roman"/>
        </w:rPr>
        <w:t xml:space="preserve">. London: Department of </w:t>
      </w:r>
      <w:r w:rsidR="009A4B86">
        <w:rPr>
          <w:rFonts w:eastAsia="Times New Roman" w:cs="Times New Roman"/>
        </w:rPr>
        <w:t>C</w:t>
      </w:r>
      <w:r>
        <w:rPr>
          <w:rFonts w:eastAsia="Times New Roman" w:cs="Times New Roman"/>
        </w:rPr>
        <w:t>ommunities and Local Government.</w:t>
      </w:r>
    </w:p>
    <w:p w14:paraId="13819454" w14:textId="77777777" w:rsidR="00DD33E1" w:rsidRDefault="00DD33E1" w:rsidP="00DD33E1">
      <w:pPr>
        <w:rPr>
          <w:rFonts w:eastAsia="Times New Roman" w:cs="Times New Roman"/>
        </w:rPr>
      </w:pPr>
    </w:p>
    <w:p w14:paraId="6D2419FA" w14:textId="77777777" w:rsidR="00DD33E1" w:rsidRDefault="00DD33E1" w:rsidP="00DD33E1">
      <w:pPr>
        <w:rPr>
          <w:rFonts w:eastAsia="Times New Roman" w:cs="Times New Roman"/>
        </w:rPr>
      </w:pPr>
      <w:proofErr w:type="spellStart"/>
      <w:r>
        <w:rPr>
          <w:rFonts w:eastAsia="Times New Roman" w:cs="Times New Roman"/>
        </w:rPr>
        <w:t>DfT</w:t>
      </w:r>
      <w:proofErr w:type="spellEnd"/>
      <w:r>
        <w:rPr>
          <w:rFonts w:eastAsia="Times New Roman" w:cs="Times New Roman"/>
        </w:rPr>
        <w:t xml:space="preserve"> (2018). </w:t>
      </w:r>
      <w:r w:rsidRPr="00B108D3">
        <w:rPr>
          <w:rFonts w:eastAsia="Times New Roman" w:cs="Times New Roman"/>
          <w:i/>
        </w:rPr>
        <w:t>Capturing housing impacts in transport appraisal; case studies</w:t>
      </w:r>
      <w:r>
        <w:rPr>
          <w:rFonts w:eastAsia="Times New Roman" w:cs="Times New Roman"/>
        </w:rPr>
        <w:t>. London: Department for Transport.</w:t>
      </w:r>
    </w:p>
    <w:p w14:paraId="1D058641" w14:textId="77777777" w:rsidR="00DD33E1" w:rsidRDefault="00DD33E1" w:rsidP="00DD33E1">
      <w:pPr>
        <w:rPr>
          <w:rFonts w:eastAsia="Times New Roman" w:cs="Times New Roman"/>
        </w:rPr>
      </w:pPr>
    </w:p>
    <w:p w14:paraId="77FC3DF5" w14:textId="6136AA28" w:rsidR="00DD33E1" w:rsidRPr="003754D1" w:rsidRDefault="00DD33E1" w:rsidP="00DD33E1">
      <w:proofErr w:type="spellStart"/>
      <w:r>
        <w:rPr>
          <w:rFonts w:eastAsia="Times New Roman" w:cs="Times New Roman"/>
        </w:rPr>
        <w:t>DfT</w:t>
      </w:r>
      <w:proofErr w:type="spellEnd"/>
      <w:r>
        <w:rPr>
          <w:rFonts w:eastAsia="Times New Roman" w:cs="Times New Roman"/>
        </w:rPr>
        <w:t xml:space="preserve"> (2019). </w:t>
      </w:r>
      <w:r w:rsidRPr="00B108D3">
        <w:rPr>
          <w:rFonts w:eastAsia="Times New Roman" w:cs="Times New Roman"/>
          <w:i/>
        </w:rPr>
        <w:t xml:space="preserve">Appraisal and Modelling Strategy: </w:t>
      </w:r>
      <w:r w:rsidRPr="00B108D3">
        <w:rPr>
          <w:i/>
        </w:rPr>
        <w:t>Informing Future Investment Decisions.</w:t>
      </w:r>
      <w:r>
        <w:rPr>
          <w:rFonts w:eastAsia="Times New Roman" w:cs="Times New Roman"/>
        </w:rPr>
        <w:t xml:space="preserve">  Paras 6.7 et seq. London: Department for Transport.</w:t>
      </w:r>
    </w:p>
    <w:p w14:paraId="22E1D1BF" w14:textId="77777777" w:rsidR="00DD33E1" w:rsidRDefault="00DD33E1" w:rsidP="00DD33E1"/>
    <w:p w14:paraId="4C385C09" w14:textId="77777777" w:rsidR="00DD33E1" w:rsidRDefault="00DD33E1" w:rsidP="00DD33E1">
      <w:r>
        <w:t xml:space="preserve">DNTS (2016). </w:t>
      </w:r>
      <w:r w:rsidRPr="00B108D3">
        <w:rPr>
          <w:i/>
        </w:rPr>
        <w:t>Danish National Travel Survey</w:t>
      </w:r>
      <w:r>
        <w:t xml:space="preserve"> [</w:t>
      </w:r>
      <w:proofErr w:type="gramStart"/>
      <w:r w:rsidRPr="00262913">
        <w:t>https://www.cta.man.dtu.dk/english/tvu</w:t>
      </w:r>
      <w:r>
        <w:t xml:space="preserve"> ]</w:t>
      </w:r>
      <w:proofErr w:type="gramEnd"/>
    </w:p>
    <w:p w14:paraId="292FA255" w14:textId="77777777" w:rsidR="00DD33E1" w:rsidRDefault="00DD33E1" w:rsidP="00DD33E1"/>
    <w:p w14:paraId="23736149" w14:textId="77777777" w:rsidR="00DD33E1" w:rsidRDefault="00DD33E1" w:rsidP="00DD33E1">
      <w:r>
        <w:t xml:space="preserve">Downs, A. (1962). The Law of Peak-Hour Expressway Congestion. </w:t>
      </w:r>
      <w:r w:rsidRPr="00B108D3">
        <w:rPr>
          <w:i/>
        </w:rPr>
        <w:t>Traffic Quarterly</w:t>
      </w:r>
      <w:r>
        <w:t>, July, 393-409.</w:t>
      </w:r>
    </w:p>
    <w:p w14:paraId="1C67EF29" w14:textId="77777777" w:rsidR="00DD33E1" w:rsidRDefault="00DD33E1" w:rsidP="00DD33E1"/>
    <w:p w14:paraId="5A4EAFDD" w14:textId="45B85A6C" w:rsidR="00DD33E1" w:rsidRDefault="00DD33E1" w:rsidP="00DD33E1">
      <w:proofErr w:type="spellStart"/>
      <w:r>
        <w:t>Duranton</w:t>
      </w:r>
      <w:proofErr w:type="spellEnd"/>
      <w:r>
        <w:t xml:space="preserve">, G. and Guerra, E (2016). </w:t>
      </w:r>
      <w:r w:rsidRPr="00B108D3">
        <w:rPr>
          <w:i/>
        </w:rPr>
        <w:t xml:space="preserve">Developing a Common Narrative on Urban Accessibility: </w:t>
      </w:r>
      <w:r w:rsidR="009A4B86">
        <w:rPr>
          <w:i/>
        </w:rPr>
        <w:t>A</w:t>
      </w:r>
      <w:r w:rsidRPr="00B108D3">
        <w:rPr>
          <w:i/>
        </w:rPr>
        <w:t>n Urban Planning Perspective</w:t>
      </w:r>
      <w:r>
        <w:t>. Washington DC: The Brookings Institution.</w:t>
      </w:r>
    </w:p>
    <w:p w14:paraId="17BDA56D" w14:textId="77777777" w:rsidR="00DD33E1" w:rsidRDefault="00DD33E1" w:rsidP="00DD33E1"/>
    <w:p w14:paraId="61800EE7" w14:textId="77777777" w:rsidR="00DD33E1" w:rsidRPr="0045286C" w:rsidRDefault="00DD33E1" w:rsidP="00DD33E1">
      <w:proofErr w:type="spellStart"/>
      <w:r>
        <w:t>Duranton</w:t>
      </w:r>
      <w:proofErr w:type="spellEnd"/>
      <w:r>
        <w:t xml:space="preserve">, G. and </w:t>
      </w:r>
      <w:r w:rsidRPr="0045286C">
        <w:t>Turner</w:t>
      </w:r>
      <w:r>
        <w:t>, M</w:t>
      </w:r>
      <w:r w:rsidRPr="0045286C">
        <w:t xml:space="preserve">. (2011). The Fundamental Law of Road Congestion: Evidence from US Cities. </w:t>
      </w:r>
      <w:r w:rsidRPr="00B108D3">
        <w:rPr>
          <w:i/>
        </w:rPr>
        <w:t>American Economic Review</w:t>
      </w:r>
      <w:r w:rsidRPr="0045286C">
        <w:t>, 101, 2616-2652</w:t>
      </w:r>
      <w:r>
        <w:t>.</w:t>
      </w:r>
    </w:p>
    <w:p w14:paraId="08C898A0" w14:textId="77777777" w:rsidR="00DD33E1" w:rsidRDefault="00DD33E1" w:rsidP="00DD33E1"/>
    <w:p w14:paraId="1293EA66" w14:textId="2492F82C" w:rsidR="00DD33E1" w:rsidRDefault="00DD33E1" w:rsidP="00DD33E1">
      <w:proofErr w:type="spellStart"/>
      <w:r>
        <w:t>Geurs</w:t>
      </w:r>
      <w:proofErr w:type="spellEnd"/>
      <w:r>
        <w:t>, K. and van Wee, B. (2004). Accessibility evaluation of land-use and transport</w:t>
      </w:r>
      <w:r w:rsidRPr="00FB5840">
        <w:t xml:space="preserve"> </w:t>
      </w:r>
      <w:r>
        <w:t xml:space="preserve">strategies: review and research directions. </w:t>
      </w:r>
      <w:r w:rsidRPr="00B108D3">
        <w:rPr>
          <w:i/>
        </w:rPr>
        <w:t>J</w:t>
      </w:r>
      <w:r w:rsidR="00B108D3">
        <w:rPr>
          <w:i/>
        </w:rPr>
        <w:t>ournal of</w:t>
      </w:r>
      <w:r w:rsidRPr="00B108D3">
        <w:rPr>
          <w:i/>
        </w:rPr>
        <w:t xml:space="preserve"> Transport Geography</w:t>
      </w:r>
      <w:r>
        <w:t>, 12(2), 127-140.</w:t>
      </w:r>
    </w:p>
    <w:p w14:paraId="4F940E57" w14:textId="77777777" w:rsidR="00DD33E1" w:rsidRDefault="00DD33E1" w:rsidP="00DD33E1"/>
    <w:p w14:paraId="7DF6FDC9" w14:textId="77777777" w:rsidR="00DD33E1" w:rsidRDefault="00DD33E1" w:rsidP="00DD33E1">
      <w:proofErr w:type="spellStart"/>
      <w:r>
        <w:t>Geurs</w:t>
      </w:r>
      <w:proofErr w:type="spellEnd"/>
      <w:r>
        <w:t xml:space="preserve">, K., </w:t>
      </w:r>
      <w:proofErr w:type="spellStart"/>
      <w:r>
        <w:t>Zondag</w:t>
      </w:r>
      <w:proofErr w:type="spellEnd"/>
      <w:r>
        <w:t xml:space="preserve">, B., de Jong, G. and de Bok, M. (2010). Accessibility appraisal of land-use/transport policy strategies: more than just adding up travel-time savings. </w:t>
      </w:r>
      <w:r w:rsidRPr="00B108D3">
        <w:rPr>
          <w:i/>
        </w:rPr>
        <w:t>Transportation Research Part</w:t>
      </w:r>
      <w:r>
        <w:t xml:space="preserve"> </w:t>
      </w:r>
      <w:r w:rsidRPr="00B108D3">
        <w:rPr>
          <w:i/>
        </w:rPr>
        <w:t>D</w:t>
      </w:r>
      <w:r>
        <w:t>, 15(7), 382-393.</w:t>
      </w:r>
    </w:p>
    <w:p w14:paraId="07731497" w14:textId="77777777" w:rsidR="00DD33E1" w:rsidRDefault="00DD33E1" w:rsidP="00DD33E1"/>
    <w:p w14:paraId="64E98F0A" w14:textId="77777777" w:rsidR="00DD33E1" w:rsidRDefault="00DD33E1" w:rsidP="00DD33E1">
      <w:r>
        <w:t xml:space="preserve">Goodwin, P. (1996). Empirical evidence on induced traffic. </w:t>
      </w:r>
      <w:r w:rsidRPr="00B108D3">
        <w:rPr>
          <w:i/>
        </w:rPr>
        <w:t>Transportation</w:t>
      </w:r>
      <w:r>
        <w:t>, 23(1), 35-54.</w:t>
      </w:r>
    </w:p>
    <w:p w14:paraId="6F215696" w14:textId="77777777" w:rsidR="00DD33E1" w:rsidRDefault="00DD33E1" w:rsidP="00DD33E1"/>
    <w:p w14:paraId="6D039E2B" w14:textId="3FF4F2AA" w:rsidR="00DD33E1" w:rsidRDefault="00DD33E1" w:rsidP="00DD33E1">
      <w:r>
        <w:t>Grimes, A. and Liang, Y. (2010). Bridge to Somewhere: Valuing Auckland’s Northern Motorway Extensions</w:t>
      </w:r>
      <w:r w:rsidRPr="00B108D3">
        <w:rPr>
          <w:i/>
        </w:rPr>
        <w:t xml:space="preserve">. Journal of </w:t>
      </w:r>
      <w:r w:rsidR="009A4B86">
        <w:rPr>
          <w:i/>
        </w:rPr>
        <w:t>T</w:t>
      </w:r>
      <w:r w:rsidRPr="00B108D3">
        <w:rPr>
          <w:i/>
        </w:rPr>
        <w:t>ransport Economics and Policy</w:t>
      </w:r>
      <w:r>
        <w:t>, 44(3), 287-315.</w:t>
      </w:r>
    </w:p>
    <w:p w14:paraId="3ED7C431" w14:textId="77777777" w:rsidR="00DD33E1" w:rsidRDefault="00DD33E1" w:rsidP="00DD33E1"/>
    <w:p w14:paraId="768E6D48" w14:textId="77777777" w:rsidR="00DD33E1" w:rsidRDefault="00DD33E1" w:rsidP="00DD33E1">
      <w:r>
        <w:t xml:space="preserve">Halket, J., </w:t>
      </w:r>
      <w:proofErr w:type="spellStart"/>
      <w:r>
        <w:t>Mysliwski</w:t>
      </w:r>
      <w:proofErr w:type="spellEnd"/>
      <w:r>
        <w:t xml:space="preserve">, M., </w:t>
      </w:r>
      <w:proofErr w:type="spellStart"/>
      <w:r>
        <w:t>Nesheim</w:t>
      </w:r>
      <w:proofErr w:type="spellEnd"/>
      <w:r>
        <w:t xml:space="preserve">, L. and Simpson, P. (2019). </w:t>
      </w:r>
      <w:r w:rsidRPr="00B108D3">
        <w:rPr>
          <w:i/>
        </w:rPr>
        <w:t>Property Value Uplift Tool: Final Report</w:t>
      </w:r>
      <w:r>
        <w:t>. London: Institute for Fiscal Studies.</w:t>
      </w:r>
    </w:p>
    <w:p w14:paraId="5103490F" w14:textId="77777777" w:rsidR="00DD33E1" w:rsidRDefault="00DD33E1" w:rsidP="00DD33E1"/>
    <w:p w14:paraId="06169F7E" w14:textId="77777777" w:rsidR="00DD33E1" w:rsidRDefault="00DD33E1" w:rsidP="00DD33E1">
      <w:r>
        <w:t xml:space="preserve">Handy, S. and </w:t>
      </w:r>
      <w:proofErr w:type="spellStart"/>
      <w:r>
        <w:t>Borneat</w:t>
      </w:r>
      <w:proofErr w:type="spellEnd"/>
      <w:r>
        <w:t xml:space="preserve">, M. (2014). </w:t>
      </w:r>
      <w:r w:rsidRPr="00B108D3">
        <w:rPr>
          <w:i/>
        </w:rPr>
        <w:t>Impact of Highway Capacity and Induced Travel on Passenger Vehicle Use and Greenhouse Gas Emissions</w:t>
      </w:r>
      <w:r>
        <w:t>. California Air Resources Board.</w:t>
      </w:r>
    </w:p>
    <w:p w14:paraId="2CF14C7D" w14:textId="77777777" w:rsidR="00DD33E1" w:rsidRDefault="00DD33E1" w:rsidP="00DD33E1"/>
    <w:p w14:paraId="4010153A" w14:textId="77777777" w:rsidR="00DD33E1" w:rsidRDefault="00DD33E1" w:rsidP="00DD33E1">
      <w:r w:rsidRPr="00505469">
        <w:t>Hickman</w:t>
      </w:r>
      <w:r w:rsidRPr="00146FCB">
        <w:t xml:space="preserve">, R. and </w:t>
      </w:r>
      <w:r w:rsidRPr="00505469">
        <w:t>Dean</w:t>
      </w:r>
      <w:r w:rsidRPr="00146FCB">
        <w:t>, M.</w:t>
      </w:r>
      <w:r w:rsidRPr="00505469">
        <w:t xml:space="preserve"> (2018) Incomplete cost – incomplete benefit analysis in transport appraisal, </w:t>
      </w:r>
      <w:r w:rsidRPr="00B108D3">
        <w:rPr>
          <w:i/>
        </w:rPr>
        <w:t>Transport Reviews</w:t>
      </w:r>
      <w:r w:rsidRPr="00505469">
        <w:t xml:space="preserve">, </w:t>
      </w:r>
      <w:r w:rsidRPr="00146FCB">
        <w:t>38(</w:t>
      </w:r>
      <w:r w:rsidRPr="00505469">
        <w:t>6</w:t>
      </w:r>
      <w:r w:rsidRPr="00146FCB">
        <w:t>)</w:t>
      </w:r>
      <w:r w:rsidRPr="00505469">
        <w:t xml:space="preserve">, </w:t>
      </w:r>
      <w:r w:rsidRPr="00146FCB">
        <w:t>689-709.</w:t>
      </w:r>
    </w:p>
    <w:p w14:paraId="440B264A" w14:textId="77777777" w:rsidR="00DD33E1" w:rsidRDefault="00DD33E1" w:rsidP="00DD33E1"/>
    <w:p w14:paraId="7AC8C503" w14:textId="77777777" w:rsidR="00DD33E1" w:rsidRDefault="00DD33E1" w:rsidP="00DD33E1">
      <w:r>
        <w:t xml:space="preserve">ITF (2017). </w:t>
      </w:r>
      <w:r w:rsidRPr="00B108D3">
        <w:rPr>
          <w:i/>
        </w:rPr>
        <w:t>Linking People and Places: New ways of understanding spatial access in cities</w:t>
      </w:r>
      <w:r>
        <w:t>. Paris: International Transport Forum.</w:t>
      </w:r>
    </w:p>
    <w:p w14:paraId="033B0605" w14:textId="77777777" w:rsidR="00DD33E1" w:rsidRDefault="00DD33E1" w:rsidP="00DD33E1"/>
    <w:p w14:paraId="0A62A019" w14:textId="77777777" w:rsidR="00DD33E1" w:rsidRPr="00E61782" w:rsidRDefault="00DD33E1" w:rsidP="00DD33E1">
      <w:r w:rsidRPr="00E61782">
        <w:t xml:space="preserve">Ladd, B. (2012) “You can't build your way out of congestion.” – Or can you? </w:t>
      </w:r>
      <w:proofErr w:type="spellStart"/>
      <w:r w:rsidRPr="00B108D3">
        <w:rPr>
          <w:i/>
        </w:rPr>
        <w:t>disP</w:t>
      </w:r>
      <w:proofErr w:type="spellEnd"/>
      <w:r w:rsidRPr="00B108D3">
        <w:rPr>
          <w:i/>
        </w:rPr>
        <w:t xml:space="preserve"> - The Planning Review</w:t>
      </w:r>
      <w:r w:rsidRPr="00E61782">
        <w:t>, 48(3), 16-23.</w:t>
      </w:r>
    </w:p>
    <w:p w14:paraId="04A48DFE" w14:textId="77777777" w:rsidR="00DD33E1" w:rsidRDefault="00DD33E1" w:rsidP="00DD33E1"/>
    <w:p w14:paraId="37E80881" w14:textId="77777777" w:rsidR="00DD33E1" w:rsidRDefault="00DD33E1" w:rsidP="00DD33E1">
      <w:r>
        <w:t xml:space="preserve">Lee, H., Lim, W. and Leong, W. (2018). Land enhancement and intensification benefits of investing in an urban rail network. </w:t>
      </w:r>
      <w:r w:rsidRPr="00B108D3">
        <w:rPr>
          <w:i/>
        </w:rPr>
        <w:t>Research in Transportation Economics</w:t>
      </w:r>
      <w:r>
        <w:t>, 69, 512-522.</w:t>
      </w:r>
    </w:p>
    <w:p w14:paraId="5B9B1322" w14:textId="77777777" w:rsidR="00DD33E1" w:rsidRDefault="00DD33E1" w:rsidP="00DD33E1"/>
    <w:p w14:paraId="6739E33B" w14:textId="77777777" w:rsidR="00DD33E1" w:rsidRPr="00505469" w:rsidRDefault="00DD33E1" w:rsidP="00DD33E1">
      <w:proofErr w:type="spellStart"/>
      <w:r>
        <w:t>Litman</w:t>
      </w:r>
      <w:proofErr w:type="spellEnd"/>
      <w:r>
        <w:t xml:space="preserve">, T. (2019). </w:t>
      </w:r>
      <w:r w:rsidRPr="00B108D3">
        <w:rPr>
          <w:i/>
        </w:rPr>
        <w:t>Generated Traffic and Induced Traffic: Implications for Transport Planning</w:t>
      </w:r>
      <w:r>
        <w:t>. Victoria BC: Victoria Transport Policy Institute.</w:t>
      </w:r>
    </w:p>
    <w:p w14:paraId="32CF2D25" w14:textId="77777777" w:rsidR="00DD33E1" w:rsidRDefault="00DD33E1" w:rsidP="00DD33E1"/>
    <w:p w14:paraId="5103AEB2" w14:textId="77777777" w:rsidR="00DD33E1" w:rsidRDefault="00DD33E1" w:rsidP="00DD33E1">
      <w:r>
        <w:t xml:space="preserve">Mackie, P., Batley, R. and Worsley, T. (2018). Valuing transport investments based on travel time saving – a response to David Metz. </w:t>
      </w:r>
      <w:r w:rsidRPr="00B108D3">
        <w:rPr>
          <w:i/>
        </w:rPr>
        <w:t>Case Studies on Transport Polic</w:t>
      </w:r>
      <w:r>
        <w:t>y, 6(4), 638-641.</w:t>
      </w:r>
    </w:p>
    <w:p w14:paraId="1551BCBB" w14:textId="77777777" w:rsidR="00DD33E1" w:rsidRDefault="00DD33E1" w:rsidP="00DD33E1"/>
    <w:p w14:paraId="7BC21225" w14:textId="77777777" w:rsidR="00DD33E1" w:rsidRDefault="00DD33E1" w:rsidP="00DD33E1">
      <w:r>
        <w:t xml:space="preserve">Marchetti, C. (1994). Anthropological invariants in travel behaviour. </w:t>
      </w:r>
      <w:r w:rsidRPr="00B108D3">
        <w:rPr>
          <w:i/>
        </w:rPr>
        <w:t>Technological Forecasting and Social Change</w:t>
      </w:r>
      <w:r>
        <w:t>, 47(1), 75-88.</w:t>
      </w:r>
    </w:p>
    <w:p w14:paraId="5F3F08D4" w14:textId="77777777" w:rsidR="00DD33E1" w:rsidRDefault="00DD33E1" w:rsidP="00DD33E1"/>
    <w:p w14:paraId="1042A2BB" w14:textId="77777777" w:rsidR="00DD33E1" w:rsidRDefault="00DD33E1" w:rsidP="00DD33E1">
      <w:proofErr w:type="spellStart"/>
      <w:r>
        <w:t>Medda</w:t>
      </w:r>
      <w:proofErr w:type="spellEnd"/>
      <w:r>
        <w:t xml:space="preserve">, F. (2012). Land value capture finance for transport accessibility: a review. </w:t>
      </w:r>
      <w:r w:rsidRPr="00B108D3">
        <w:rPr>
          <w:i/>
        </w:rPr>
        <w:t>Journal of Transport Geography</w:t>
      </w:r>
      <w:r>
        <w:t>, 25, 154-161.</w:t>
      </w:r>
    </w:p>
    <w:p w14:paraId="6769A11E" w14:textId="77777777" w:rsidR="00DD33E1" w:rsidRDefault="00DD33E1" w:rsidP="00DD33E1"/>
    <w:p w14:paraId="5A56FD26" w14:textId="35477C30" w:rsidR="00DD33E1" w:rsidRDefault="00DD33E1" w:rsidP="00DD33E1">
      <w:r>
        <w:lastRenderedPageBreak/>
        <w:t xml:space="preserve">Metz, D. (2005) Journey quality </w:t>
      </w:r>
      <w:r w:rsidR="00B108D3">
        <w:t>a</w:t>
      </w:r>
      <w:r>
        <w:t xml:space="preserve">s the focus of future transport policy. </w:t>
      </w:r>
      <w:r w:rsidRPr="00B108D3">
        <w:rPr>
          <w:i/>
        </w:rPr>
        <w:t>Transport Policy</w:t>
      </w:r>
      <w:r>
        <w:t>, 12(4), 353-359.</w:t>
      </w:r>
    </w:p>
    <w:p w14:paraId="563A814E" w14:textId="77777777" w:rsidR="00DD33E1" w:rsidRDefault="00DD33E1" w:rsidP="00DD33E1"/>
    <w:p w14:paraId="1D7F79C2" w14:textId="77777777" w:rsidR="00DD33E1" w:rsidRDefault="00DD33E1" w:rsidP="00DD33E1">
      <w:pPr>
        <w:rPr>
          <w:rStyle w:val="nlmlpage"/>
          <w:rFonts w:eastAsia="Times New Roman"/>
        </w:rPr>
      </w:pPr>
      <w:r>
        <w:rPr>
          <w:rStyle w:val="hlfld-contribauthor"/>
          <w:rFonts w:eastAsia="Times New Roman"/>
        </w:rPr>
        <w:t xml:space="preserve">Metz, </w:t>
      </w:r>
      <w:r>
        <w:rPr>
          <w:rStyle w:val="nlmgiven-names"/>
          <w:rFonts w:eastAsia="Times New Roman"/>
        </w:rPr>
        <w:t>D.</w:t>
      </w:r>
      <w:r>
        <w:rPr>
          <w:rStyle w:val="ref-overlay"/>
          <w:rFonts w:eastAsia="Times New Roman"/>
        </w:rPr>
        <w:t xml:space="preserve"> (</w:t>
      </w:r>
      <w:r>
        <w:rPr>
          <w:rStyle w:val="nlmyear"/>
          <w:rFonts w:eastAsia="Times New Roman"/>
        </w:rPr>
        <w:t>2008</w:t>
      </w:r>
      <w:r>
        <w:rPr>
          <w:rStyle w:val="ref-overlay"/>
          <w:rFonts w:eastAsia="Times New Roman"/>
        </w:rPr>
        <w:t xml:space="preserve">). </w:t>
      </w:r>
      <w:r>
        <w:rPr>
          <w:rStyle w:val="nlmarticle-title"/>
          <w:rFonts w:eastAsia="Times New Roman"/>
        </w:rPr>
        <w:t>The myth of travel time saving</w:t>
      </w:r>
      <w:r>
        <w:rPr>
          <w:rStyle w:val="ref-overlay"/>
          <w:rFonts w:eastAsia="Times New Roman"/>
        </w:rPr>
        <w:t xml:space="preserve">. </w:t>
      </w:r>
      <w:r>
        <w:rPr>
          <w:rStyle w:val="ref-overlay"/>
          <w:rFonts w:eastAsia="Times New Roman"/>
          <w:i/>
          <w:iCs/>
        </w:rPr>
        <w:t>Transport Reviews</w:t>
      </w:r>
      <w:r>
        <w:rPr>
          <w:rStyle w:val="ref-overlay"/>
          <w:rFonts w:eastAsia="Times New Roman"/>
        </w:rPr>
        <w:t xml:space="preserve">, </w:t>
      </w:r>
      <w:r>
        <w:rPr>
          <w:rStyle w:val="ref-overlay"/>
          <w:rFonts w:eastAsia="Times New Roman"/>
          <w:i/>
          <w:iCs/>
        </w:rPr>
        <w:t>28</w:t>
      </w:r>
      <w:r>
        <w:rPr>
          <w:rStyle w:val="ref-overlay"/>
          <w:rFonts w:eastAsia="Times New Roman"/>
        </w:rPr>
        <w:t xml:space="preserve">, </w:t>
      </w:r>
      <w:r>
        <w:rPr>
          <w:rStyle w:val="nlmfpage"/>
          <w:rFonts w:eastAsia="Times New Roman"/>
        </w:rPr>
        <w:t>321</w:t>
      </w:r>
      <w:r>
        <w:rPr>
          <w:rStyle w:val="ref-overlay"/>
          <w:rFonts w:eastAsia="Times New Roman"/>
        </w:rPr>
        <w:t>–</w:t>
      </w:r>
      <w:r>
        <w:rPr>
          <w:rStyle w:val="nlmlpage"/>
          <w:rFonts w:eastAsia="Times New Roman"/>
        </w:rPr>
        <w:t>336.</w:t>
      </w:r>
    </w:p>
    <w:p w14:paraId="3E6EDAF2" w14:textId="77777777" w:rsidR="00DD33E1" w:rsidRDefault="00DD33E1" w:rsidP="00DD33E1">
      <w:pPr>
        <w:rPr>
          <w:rStyle w:val="nlmlpage"/>
          <w:rFonts w:eastAsia="Times New Roman"/>
        </w:rPr>
      </w:pPr>
    </w:p>
    <w:p w14:paraId="3DD25D17" w14:textId="77777777" w:rsidR="00DD33E1" w:rsidRPr="00615F41" w:rsidRDefault="00DD33E1" w:rsidP="00DD33E1">
      <w:r w:rsidRPr="00615F41">
        <w:t>Metz, D. (2010). Saturat</w:t>
      </w:r>
      <w:r>
        <w:t>ion of demand for daily travel.</w:t>
      </w:r>
      <w:r w:rsidRPr="00615F41">
        <w:t xml:space="preserve"> </w:t>
      </w:r>
      <w:r w:rsidRPr="00B108D3">
        <w:rPr>
          <w:i/>
        </w:rPr>
        <w:t>Transport Reviews</w:t>
      </w:r>
      <w:r>
        <w:t>, 30(5), 659-674.</w:t>
      </w:r>
    </w:p>
    <w:p w14:paraId="4A4A19C4" w14:textId="77777777" w:rsidR="00DD33E1" w:rsidRDefault="00DD33E1" w:rsidP="00DD33E1"/>
    <w:p w14:paraId="17CB48F3" w14:textId="4360F3A2" w:rsidR="00DD33E1" w:rsidRDefault="00DD33E1" w:rsidP="00DD33E1">
      <w:r w:rsidRPr="00615F41">
        <w:t>Metz, D. (2013)</w:t>
      </w:r>
      <w:r>
        <w:t>.</w:t>
      </w:r>
      <w:r w:rsidRPr="00615F41">
        <w:t xml:space="preserve"> Mobility, Access and C</w:t>
      </w:r>
      <w:r>
        <w:t xml:space="preserve">hoice: </w:t>
      </w:r>
      <w:r w:rsidR="009A4B86">
        <w:t>A</w:t>
      </w:r>
      <w:r>
        <w:t xml:space="preserve"> New Source of Evidence.</w:t>
      </w:r>
      <w:r w:rsidRPr="00615F41">
        <w:t xml:space="preserve"> </w:t>
      </w:r>
      <w:r w:rsidRPr="00B108D3">
        <w:rPr>
          <w:i/>
        </w:rPr>
        <w:t>Journal of Transport and Land Use</w:t>
      </w:r>
      <w:r w:rsidRPr="00615F41">
        <w:t>, 6(2), 1-4.</w:t>
      </w:r>
    </w:p>
    <w:p w14:paraId="6CBA5676" w14:textId="77777777" w:rsidR="00DD33E1" w:rsidRDefault="00DD33E1" w:rsidP="00DD33E1"/>
    <w:p w14:paraId="4393D1F2" w14:textId="77777777" w:rsidR="00DD33E1" w:rsidRPr="00615F41" w:rsidRDefault="00DD33E1" w:rsidP="00DD33E1">
      <w:r>
        <w:t xml:space="preserve">Metz, D. (2017). Valuing transport investments based on travel time savings: Inconsistency with United Kingdom policy objectives. </w:t>
      </w:r>
      <w:r w:rsidRPr="00B108D3">
        <w:rPr>
          <w:i/>
        </w:rPr>
        <w:t>Case Studies on Transport Policy</w:t>
      </w:r>
      <w:r>
        <w:t>, 5, 716-721.</w:t>
      </w:r>
    </w:p>
    <w:p w14:paraId="18EA0C1B" w14:textId="77777777" w:rsidR="00DD33E1" w:rsidRDefault="00DD33E1" w:rsidP="00DD33E1">
      <w:pPr>
        <w:rPr>
          <w:rStyle w:val="nlmlpage"/>
          <w:rFonts w:eastAsia="Times New Roman"/>
        </w:rPr>
      </w:pPr>
    </w:p>
    <w:p w14:paraId="65DF1D75" w14:textId="77777777" w:rsidR="00DD33E1" w:rsidRPr="00963045" w:rsidRDefault="00DD33E1" w:rsidP="00DD33E1">
      <w:pPr>
        <w:rPr>
          <w:rStyle w:val="nlmlpage"/>
          <w:rFonts w:eastAsia="Times New Roman"/>
        </w:rPr>
      </w:pPr>
      <w:r>
        <w:rPr>
          <w:rStyle w:val="nlmlpage"/>
          <w:rFonts w:eastAsia="Times New Roman"/>
        </w:rPr>
        <w:t xml:space="preserve">Metz, D. (2018). Tackling Urban Traffic Congestion: The experience of London, Stockholm and Singapore. </w:t>
      </w:r>
      <w:r>
        <w:rPr>
          <w:rStyle w:val="nlmlpage"/>
          <w:rFonts w:eastAsia="Times New Roman"/>
          <w:i/>
        </w:rPr>
        <w:t xml:space="preserve">Case Studies on Transport Policy, </w:t>
      </w:r>
      <w:r>
        <w:rPr>
          <w:rStyle w:val="nlmlpage"/>
          <w:rFonts w:eastAsia="Times New Roman"/>
        </w:rPr>
        <w:t>6, 494-498.</w:t>
      </w:r>
    </w:p>
    <w:p w14:paraId="3B79ED71" w14:textId="77777777" w:rsidR="00DD33E1" w:rsidRDefault="00DD33E1" w:rsidP="00DD33E1">
      <w:pPr>
        <w:rPr>
          <w:rStyle w:val="nlmlpage"/>
          <w:rFonts w:eastAsia="Times New Roman"/>
        </w:rPr>
      </w:pPr>
    </w:p>
    <w:p w14:paraId="4F96DD05" w14:textId="77777777" w:rsidR="00DD33E1" w:rsidRDefault="00DD33E1" w:rsidP="00DD33E1">
      <w:r>
        <w:rPr>
          <w:rStyle w:val="nlmlpage"/>
          <w:rFonts w:eastAsia="Times New Roman"/>
        </w:rPr>
        <w:t xml:space="preserve">Metz, D. (2019). </w:t>
      </w:r>
      <w:r w:rsidRPr="00B108D3">
        <w:rPr>
          <w:rStyle w:val="nlmlpage"/>
          <w:rFonts w:eastAsia="Times New Roman"/>
          <w:i/>
        </w:rPr>
        <w:t>Driving Change: Travel in the Twenty-First Century</w:t>
      </w:r>
      <w:r>
        <w:rPr>
          <w:rStyle w:val="nlmlpage"/>
          <w:rFonts w:eastAsia="Times New Roman"/>
        </w:rPr>
        <w:t>. Newcastle upon Tyne: Agenda Publishing.</w:t>
      </w:r>
    </w:p>
    <w:p w14:paraId="69A9E1E7" w14:textId="77777777" w:rsidR="00DD33E1" w:rsidRDefault="00DD33E1" w:rsidP="00DD33E1"/>
    <w:p w14:paraId="354C59FF" w14:textId="77777777" w:rsidR="00DD33E1" w:rsidRDefault="00DD33E1" w:rsidP="00DD33E1">
      <w:pPr>
        <w:rPr>
          <w:lang w:val="en-US"/>
        </w:rPr>
      </w:pPr>
      <w:r>
        <w:t xml:space="preserve">Mitchell, K. (2018). </w:t>
      </w:r>
      <w:r w:rsidRPr="00D43046">
        <w:rPr>
          <w:i/>
        </w:rPr>
        <w:t>An analysis of long-term trends in travel patterns</w:t>
      </w:r>
      <w:r>
        <w:t xml:space="preserve">, in </w:t>
      </w:r>
      <w:r w:rsidRPr="009660FE">
        <w:rPr>
          <w:i/>
          <w:lang w:val="en-US"/>
        </w:rPr>
        <w:t>Analyses from the National Travel Survey</w:t>
      </w:r>
      <w:r>
        <w:rPr>
          <w:lang w:val="en-US"/>
        </w:rPr>
        <w:t>. London: Department for Transport. 2018.</w:t>
      </w:r>
    </w:p>
    <w:p w14:paraId="4D2567DF" w14:textId="77777777" w:rsidR="00DD33E1" w:rsidRDefault="00DD33E1" w:rsidP="00DD33E1">
      <w:pPr>
        <w:rPr>
          <w:lang w:val="en-US"/>
        </w:rPr>
      </w:pPr>
    </w:p>
    <w:p w14:paraId="2F0EC6DB" w14:textId="77777777" w:rsidR="00DD33E1" w:rsidRDefault="00DD33E1" w:rsidP="00DD33E1">
      <w:pPr>
        <w:rPr>
          <w:lang w:val="en-US"/>
        </w:rPr>
      </w:pPr>
      <w:r>
        <w:rPr>
          <w:lang w:val="en-US"/>
        </w:rPr>
        <w:t xml:space="preserve">Mohammad, S., Graham, D., Melo, P. and Anderson, R. (2013). A meta-analysis of the impact of rail projects on land and property values. </w:t>
      </w:r>
      <w:r w:rsidRPr="00B108D3">
        <w:rPr>
          <w:i/>
          <w:lang w:val="en-US"/>
        </w:rPr>
        <w:t>Transportation Research Part A</w:t>
      </w:r>
      <w:r>
        <w:rPr>
          <w:lang w:val="en-US"/>
        </w:rPr>
        <w:t>, 50, 158-170.</w:t>
      </w:r>
    </w:p>
    <w:p w14:paraId="64EF882A" w14:textId="77777777" w:rsidR="00DD33E1" w:rsidRDefault="00DD33E1" w:rsidP="00DD33E1">
      <w:pPr>
        <w:rPr>
          <w:lang w:val="en-US"/>
        </w:rPr>
      </w:pPr>
    </w:p>
    <w:p w14:paraId="54478D78" w14:textId="77777777" w:rsidR="00DD33E1" w:rsidRDefault="00DD33E1" w:rsidP="00DD33E1">
      <w:proofErr w:type="spellStart"/>
      <w:r>
        <w:t>Mokhtarian</w:t>
      </w:r>
      <w:proofErr w:type="spellEnd"/>
      <w:r>
        <w:t xml:space="preserve">, P. and Chen, C. (2004). TTB or not TTB, that is the question: a review of the empirical literature on travel time (and money) budgets. </w:t>
      </w:r>
      <w:r w:rsidRPr="0052292A">
        <w:rPr>
          <w:i/>
        </w:rPr>
        <w:t>Transportation Research Part A,</w:t>
      </w:r>
      <w:r>
        <w:t xml:space="preserve"> 38(9-10), 643-675.</w:t>
      </w:r>
    </w:p>
    <w:p w14:paraId="580B291B" w14:textId="77777777" w:rsidR="00DD33E1" w:rsidRDefault="00DD33E1" w:rsidP="00DD33E1"/>
    <w:p w14:paraId="3F34DBF5" w14:textId="2B541401" w:rsidR="00DD33E1" w:rsidRDefault="00DD33E1" w:rsidP="00DD33E1">
      <w:proofErr w:type="spellStart"/>
      <w:r w:rsidRPr="0031783F">
        <w:t>Mokhtarian</w:t>
      </w:r>
      <w:proofErr w:type="spellEnd"/>
      <w:r w:rsidRPr="0031783F">
        <w:t xml:space="preserve">, </w:t>
      </w:r>
      <w:r>
        <w:t>P.,</w:t>
      </w:r>
      <w:r w:rsidRPr="0031783F">
        <w:t xml:space="preserve"> Salomon</w:t>
      </w:r>
      <w:r>
        <w:t>, I. and</w:t>
      </w:r>
      <w:r w:rsidRPr="0031783F">
        <w:t xml:space="preserve"> Singer</w:t>
      </w:r>
      <w:r>
        <w:t>, M.</w:t>
      </w:r>
      <w:r w:rsidRPr="0031783F">
        <w:t xml:space="preserve"> (2015) What Moves Us? An Interdisciplinary Exploration of Reasons for Traveling, </w:t>
      </w:r>
      <w:r w:rsidRPr="00B108D3">
        <w:rPr>
          <w:i/>
        </w:rPr>
        <w:t>Transport Reviews</w:t>
      </w:r>
      <w:r w:rsidRPr="0031783F">
        <w:t>, 35</w:t>
      </w:r>
      <w:r>
        <w:t>(</w:t>
      </w:r>
      <w:r w:rsidRPr="0031783F">
        <w:t>3</w:t>
      </w:r>
      <w:r>
        <w:t>)</w:t>
      </w:r>
      <w:r w:rsidRPr="0031783F">
        <w:t>, 250-274</w:t>
      </w:r>
      <w:r>
        <w:t xml:space="preserve">. </w:t>
      </w:r>
    </w:p>
    <w:p w14:paraId="5390342B" w14:textId="5E2E2C3D" w:rsidR="00030295" w:rsidRDefault="00030295" w:rsidP="00DD33E1"/>
    <w:p w14:paraId="798038D9" w14:textId="4711D0F9" w:rsidR="00030295" w:rsidRPr="002E2EE9" w:rsidRDefault="00030295" w:rsidP="00DD33E1">
      <w:proofErr w:type="spellStart"/>
      <w:r w:rsidRPr="00030295">
        <w:t>Nellthorp</w:t>
      </w:r>
      <w:proofErr w:type="spellEnd"/>
      <w:r w:rsidRPr="00030295">
        <w:t xml:space="preserve">, J., Ojeda Cabral, M., Johnson, D., Leahy, C. and Jiang, L. (2019). Land Value and Transport (Phase 2): Modelling and Appraisal. Final Report to </w:t>
      </w:r>
      <w:proofErr w:type="spellStart"/>
      <w:r w:rsidRPr="00030295">
        <w:t>TfN</w:t>
      </w:r>
      <w:proofErr w:type="spellEnd"/>
      <w:r w:rsidRPr="00030295">
        <w:t>, WYCA and EPSRC. Leeds: Institute for Transport Studies, University of Leeds.</w:t>
      </w:r>
    </w:p>
    <w:p w14:paraId="69E7161A" w14:textId="77777777" w:rsidR="00DD33E1" w:rsidRDefault="00DD33E1" w:rsidP="00DD33E1"/>
    <w:p w14:paraId="6147C3F4" w14:textId="77777777" w:rsidR="00DD33E1" w:rsidRPr="00F12E6A" w:rsidRDefault="00DD33E1" w:rsidP="00DD33E1">
      <w:r w:rsidRPr="00F12E6A">
        <w:t>Noland,</w:t>
      </w:r>
      <w:r w:rsidRPr="007638B5">
        <w:t xml:space="preserve"> R. and </w:t>
      </w:r>
      <w:proofErr w:type="spellStart"/>
      <w:r w:rsidRPr="00F12E6A">
        <w:t>Lem</w:t>
      </w:r>
      <w:proofErr w:type="spellEnd"/>
      <w:r w:rsidRPr="007638B5">
        <w:t xml:space="preserve">, L. (2002). </w:t>
      </w:r>
      <w:r w:rsidRPr="00F12E6A">
        <w:t>A review of the evidence for induced travel and changes in transportation and environmental policy in the US and the UK</w:t>
      </w:r>
      <w:r w:rsidRPr="007638B5">
        <w:t xml:space="preserve">. </w:t>
      </w:r>
      <w:r w:rsidRPr="00B108D3">
        <w:rPr>
          <w:i/>
        </w:rPr>
        <w:t>Transportation Research Part D</w:t>
      </w:r>
      <w:r w:rsidRPr="007638B5">
        <w:t xml:space="preserve">, 7 (1), </w:t>
      </w:r>
      <w:r w:rsidRPr="00F12E6A">
        <w:t>1-26</w:t>
      </w:r>
      <w:r w:rsidRPr="007638B5">
        <w:t>.</w:t>
      </w:r>
    </w:p>
    <w:p w14:paraId="19353FAF" w14:textId="77777777" w:rsidR="00DD33E1" w:rsidRDefault="00DD33E1" w:rsidP="00DD33E1"/>
    <w:p w14:paraId="2AD8E076" w14:textId="77777777" w:rsidR="00DD33E1" w:rsidRDefault="00DD33E1" w:rsidP="00DD33E1">
      <w:r>
        <w:t xml:space="preserve">NHTS (2018). </w:t>
      </w:r>
      <w:r w:rsidRPr="00B108D3">
        <w:rPr>
          <w:i/>
        </w:rPr>
        <w:t>Summary of Travel Trends: 2017 National Household Travel Survey</w:t>
      </w:r>
      <w:r>
        <w:t>. Washington DC: Federal Highway Administration.</w:t>
      </w:r>
    </w:p>
    <w:p w14:paraId="5D27D812" w14:textId="77777777" w:rsidR="00DD33E1" w:rsidRDefault="00DD33E1" w:rsidP="00DD33E1"/>
    <w:p w14:paraId="5C991622" w14:textId="77777777" w:rsidR="00DD33E1" w:rsidRDefault="00DD33E1" w:rsidP="00DD33E1">
      <w:r>
        <w:t xml:space="preserve">NTS (2018). </w:t>
      </w:r>
      <w:r w:rsidRPr="00B108D3">
        <w:rPr>
          <w:i/>
        </w:rPr>
        <w:t>National Travel Survey: 2017 report</w:t>
      </w:r>
      <w:r>
        <w:t>. London: Department for Transport.</w:t>
      </w:r>
    </w:p>
    <w:p w14:paraId="77F31042" w14:textId="77777777" w:rsidR="00DD33E1" w:rsidRDefault="00DD33E1" w:rsidP="00DD33E1"/>
    <w:p w14:paraId="42C3A21F" w14:textId="091E4272" w:rsidR="00DD33E1" w:rsidRDefault="00DD33E1" w:rsidP="00DD33E1">
      <w:r>
        <w:t xml:space="preserve">NZHTS (2018). </w:t>
      </w:r>
      <w:r w:rsidRPr="00262913">
        <w:t>https://www.transport.govt.nz/mot-resources/household-travel-survey/new-results/overview/</w:t>
      </w:r>
    </w:p>
    <w:p w14:paraId="662F59B3" w14:textId="77777777" w:rsidR="00DD33E1" w:rsidRDefault="00DD33E1" w:rsidP="00DD33E1">
      <w:pPr>
        <w:rPr>
          <w:lang w:val="en-US"/>
        </w:rPr>
      </w:pPr>
    </w:p>
    <w:p w14:paraId="41910B15" w14:textId="1A131F24" w:rsidR="00DD33E1" w:rsidRDefault="00DD33E1" w:rsidP="00DD33E1">
      <w:r>
        <w:t xml:space="preserve">Olde </w:t>
      </w:r>
      <w:proofErr w:type="spellStart"/>
      <w:r>
        <w:t>Kalter</w:t>
      </w:r>
      <w:proofErr w:type="spellEnd"/>
      <w:r>
        <w:t xml:space="preserve">, M, </w:t>
      </w:r>
      <w:proofErr w:type="spellStart"/>
      <w:r>
        <w:t>Hoogendoorn-Lanser</w:t>
      </w:r>
      <w:proofErr w:type="spellEnd"/>
      <w:r>
        <w:t xml:space="preserve">, S. and </w:t>
      </w:r>
      <w:proofErr w:type="spellStart"/>
      <w:r>
        <w:t>Geurs</w:t>
      </w:r>
      <w:proofErr w:type="spellEnd"/>
      <w:r>
        <w:t xml:space="preserve">, K. (2014) </w:t>
      </w:r>
      <w:r w:rsidRPr="00B108D3">
        <w:rPr>
          <w:i/>
        </w:rPr>
        <w:t>Towards a Better Understanding of Dynamics in Travel Behaviour</w:t>
      </w:r>
      <w:r>
        <w:t>. European Transport Conference</w:t>
      </w:r>
      <w:r w:rsidR="00B108D3">
        <w:t>. Frankfurt.</w:t>
      </w:r>
    </w:p>
    <w:p w14:paraId="74630369" w14:textId="77777777" w:rsidR="00DD33E1" w:rsidRDefault="00DD33E1" w:rsidP="00DD33E1"/>
    <w:p w14:paraId="1586CABC" w14:textId="77777777" w:rsidR="00DD33E1" w:rsidRDefault="00DD33E1" w:rsidP="00DD33E1">
      <w:r>
        <w:t xml:space="preserve">Porter, C. (2014). </w:t>
      </w:r>
      <w:r w:rsidRPr="00B108D3">
        <w:rPr>
          <w:i/>
        </w:rPr>
        <w:t>Northern Line Extension to Battersea: Infrastructure Investment to Enable Development and Land Use Change</w:t>
      </w:r>
      <w:r>
        <w:t>. European Transport Conference. Frankfurt.</w:t>
      </w:r>
    </w:p>
    <w:p w14:paraId="6F1C3DE0" w14:textId="77777777" w:rsidR="00DD33E1" w:rsidRDefault="00DD33E1" w:rsidP="00DD33E1"/>
    <w:p w14:paraId="297EA154" w14:textId="77777777" w:rsidR="00DD33E1" w:rsidRDefault="00DD33E1" w:rsidP="00DD33E1">
      <w:r>
        <w:t xml:space="preserve">SACTRA (1994). </w:t>
      </w:r>
      <w:r w:rsidRPr="00B108D3">
        <w:rPr>
          <w:i/>
        </w:rPr>
        <w:t>Trunk Roads and the Generation of Traffic</w:t>
      </w:r>
      <w:r>
        <w:t>. Standing Advisory Committee on Trunk Road Assessment. London: Department of Transport.</w:t>
      </w:r>
    </w:p>
    <w:p w14:paraId="79FFDD2B" w14:textId="77777777" w:rsidR="00DD33E1" w:rsidRDefault="00DD33E1" w:rsidP="00DD33E1"/>
    <w:p w14:paraId="67D4A9AA" w14:textId="35F734B2" w:rsidR="00DD33E1" w:rsidRDefault="00DD33E1" w:rsidP="00DD33E1">
      <w:r>
        <w:t xml:space="preserve">Schafer, A. and Victor, D. (2000). The future mobility of the world population. </w:t>
      </w:r>
      <w:r w:rsidRPr="0011732A">
        <w:rPr>
          <w:i/>
        </w:rPr>
        <w:t>Transportation Research Part A</w:t>
      </w:r>
      <w:r>
        <w:t>, 34(3), 171-205.</w:t>
      </w:r>
    </w:p>
    <w:p w14:paraId="67AD7058" w14:textId="03BBDE74" w:rsidR="00A7730C" w:rsidRDefault="00A7730C" w:rsidP="00DD33E1"/>
    <w:p w14:paraId="5951ACA1" w14:textId="7C7C5420" w:rsidR="00A7730C" w:rsidRPr="00A7730C" w:rsidRDefault="00A7730C" w:rsidP="00DD33E1">
      <w:pPr>
        <w:rPr>
          <w:rFonts w:ascii="-webkit-standard" w:eastAsia="Times New Roman" w:hAnsi="-webkit-standard" w:cs="Times New Roman"/>
          <w:color w:val="000000"/>
          <w:lang w:eastAsia="en-GB"/>
        </w:rPr>
      </w:pPr>
      <w:r w:rsidRPr="00702B89">
        <w:rPr>
          <w:rFonts w:ascii="-webkit-standard" w:eastAsia="Times New Roman" w:hAnsi="-webkit-standard" w:cs="Times New Roman"/>
          <w:color w:val="000000"/>
          <w:lang w:eastAsia="en-GB"/>
        </w:rPr>
        <w:t>Silva, C.</w:t>
      </w:r>
      <w:r>
        <w:rPr>
          <w:rFonts w:ascii="-webkit-standard" w:eastAsia="Times New Roman" w:hAnsi="-webkit-standard" w:cs="Times New Roman"/>
          <w:color w:val="000000"/>
          <w:lang w:eastAsia="en-GB"/>
        </w:rPr>
        <w:t>,</w:t>
      </w:r>
      <w:r w:rsidRPr="00702B89">
        <w:rPr>
          <w:rFonts w:ascii="-webkit-standard" w:eastAsia="Times New Roman" w:hAnsi="-webkit-standard" w:cs="Times New Roman"/>
          <w:color w:val="000000"/>
          <w:lang w:eastAsia="en-GB"/>
        </w:rPr>
        <w:t xml:space="preserve"> </w:t>
      </w:r>
      <w:proofErr w:type="spellStart"/>
      <w:r w:rsidRPr="00702B89">
        <w:rPr>
          <w:rFonts w:ascii="-webkit-standard" w:eastAsia="Times New Roman" w:hAnsi="-webkit-standard" w:cs="Times New Roman"/>
          <w:color w:val="000000"/>
          <w:lang w:eastAsia="en-GB"/>
        </w:rPr>
        <w:t>Bertolini</w:t>
      </w:r>
      <w:proofErr w:type="spellEnd"/>
      <w:r w:rsidRPr="00702B89">
        <w:rPr>
          <w:rFonts w:ascii="-webkit-standard" w:eastAsia="Times New Roman" w:hAnsi="-webkit-standard" w:cs="Times New Roman"/>
          <w:color w:val="000000"/>
          <w:lang w:eastAsia="en-GB"/>
        </w:rPr>
        <w:t>,</w:t>
      </w:r>
      <w:r>
        <w:rPr>
          <w:rFonts w:ascii="-webkit-standard" w:eastAsia="Times New Roman" w:hAnsi="-webkit-standard" w:cs="Times New Roman"/>
          <w:color w:val="000000"/>
          <w:lang w:eastAsia="en-GB"/>
        </w:rPr>
        <w:t xml:space="preserve"> L.,</w:t>
      </w:r>
      <w:r w:rsidRPr="00702B89">
        <w:rPr>
          <w:rFonts w:ascii="-webkit-standard" w:eastAsia="Times New Roman" w:hAnsi="-webkit-standard" w:cs="Times New Roman"/>
          <w:color w:val="000000"/>
          <w:lang w:eastAsia="en-GB"/>
        </w:rPr>
        <w:t xml:space="preserve"> </w:t>
      </w:r>
      <w:proofErr w:type="spellStart"/>
      <w:r w:rsidRPr="00702B89">
        <w:rPr>
          <w:rFonts w:ascii="-webkit-standard" w:eastAsia="Times New Roman" w:hAnsi="-webkit-standard" w:cs="Times New Roman"/>
          <w:color w:val="000000"/>
          <w:lang w:eastAsia="en-GB"/>
        </w:rPr>
        <w:t>te</w:t>
      </w:r>
      <w:proofErr w:type="spellEnd"/>
      <w:r w:rsidRPr="00702B89">
        <w:rPr>
          <w:rFonts w:ascii="-webkit-standard" w:eastAsia="Times New Roman" w:hAnsi="-webkit-standard" w:cs="Times New Roman"/>
          <w:color w:val="000000"/>
          <w:lang w:eastAsia="en-GB"/>
        </w:rPr>
        <w:t xml:space="preserve"> </w:t>
      </w:r>
      <w:proofErr w:type="spellStart"/>
      <w:r w:rsidRPr="00702B89">
        <w:rPr>
          <w:rFonts w:ascii="-webkit-standard" w:eastAsia="Times New Roman" w:hAnsi="-webkit-standard" w:cs="Times New Roman"/>
          <w:color w:val="000000"/>
          <w:lang w:eastAsia="en-GB"/>
        </w:rPr>
        <w:t>Brömmelstroet</w:t>
      </w:r>
      <w:proofErr w:type="spellEnd"/>
      <w:r w:rsidRPr="00702B89">
        <w:rPr>
          <w:rFonts w:ascii="-webkit-standard" w:eastAsia="Times New Roman" w:hAnsi="-webkit-standard" w:cs="Times New Roman"/>
          <w:color w:val="000000"/>
          <w:lang w:eastAsia="en-GB"/>
        </w:rPr>
        <w:t>, M.</w:t>
      </w:r>
      <w:r>
        <w:rPr>
          <w:rFonts w:ascii="-webkit-standard" w:eastAsia="Times New Roman" w:hAnsi="-webkit-standard" w:cs="Times New Roman"/>
          <w:color w:val="000000"/>
          <w:lang w:eastAsia="en-GB"/>
        </w:rPr>
        <w:t>,</w:t>
      </w:r>
      <w:r w:rsidRPr="00702B89">
        <w:rPr>
          <w:rFonts w:ascii="-webkit-standard" w:eastAsia="Times New Roman" w:hAnsi="-webkit-standard" w:cs="Times New Roman"/>
          <w:color w:val="000000"/>
          <w:lang w:eastAsia="en-GB"/>
        </w:rPr>
        <w:t xml:space="preserve"> </w:t>
      </w:r>
      <w:proofErr w:type="spellStart"/>
      <w:r w:rsidRPr="00702B89">
        <w:rPr>
          <w:rFonts w:ascii="-webkit-standard" w:eastAsia="Times New Roman" w:hAnsi="-webkit-standard" w:cs="Times New Roman"/>
          <w:color w:val="000000"/>
          <w:lang w:eastAsia="en-GB"/>
        </w:rPr>
        <w:t>Milakis</w:t>
      </w:r>
      <w:proofErr w:type="spellEnd"/>
      <w:r w:rsidRPr="00702B89">
        <w:rPr>
          <w:rFonts w:ascii="-webkit-standard" w:eastAsia="Times New Roman" w:hAnsi="-webkit-standard" w:cs="Times New Roman"/>
          <w:color w:val="000000"/>
          <w:lang w:eastAsia="en-GB"/>
        </w:rPr>
        <w:t>, D.</w:t>
      </w:r>
      <w:r>
        <w:rPr>
          <w:rFonts w:ascii="-webkit-standard" w:eastAsia="Times New Roman" w:hAnsi="-webkit-standard" w:cs="Times New Roman"/>
          <w:color w:val="000000"/>
          <w:lang w:eastAsia="en-GB"/>
        </w:rPr>
        <w:t>,</w:t>
      </w:r>
      <w:r w:rsidRPr="00702B89">
        <w:rPr>
          <w:rFonts w:ascii="-webkit-standard" w:eastAsia="Times New Roman" w:hAnsi="-webkit-standard" w:cs="Times New Roman"/>
          <w:color w:val="000000"/>
          <w:lang w:eastAsia="en-GB"/>
        </w:rPr>
        <w:t xml:space="preserve"> </w:t>
      </w:r>
      <w:r>
        <w:rPr>
          <w:rFonts w:ascii="-webkit-standard" w:eastAsia="Times New Roman" w:hAnsi="-webkit-standard" w:cs="Times New Roman"/>
          <w:color w:val="000000"/>
          <w:lang w:eastAsia="en-GB"/>
        </w:rPr>
        <w:t>and</w:t>
      </w:r>
      <w:r w:rsidRPr="00702B89">
        <w:rPr>
          <w:rFonts w:ascii="-webkit-standard" w:eastAsia="Times New Roman" w:hAnsi="-webkit-standard" w:cs="Times New Roman"/>
          <w:color w:val="000000"/>
          <w:lang w:eastAsia="en-GB"/>
        </w:rPr>
        <w:t>. Papa</w:t>
      </w:r>
      <w:r>
        <w:rPr>
          <w:rFonts w:ascii="-webkit-standard" w:eastAsia="Times New Roman" w:hAnsi="-webkit-standard" w:cs="Times New Roman"/>
          <w:color w:val="000000"/>
          <w:lang w:eastAsia="en-GB"/>
        </w:rPr>
        <w:t>,</w:t>
      </w:r>
      <w:r w:rsidRPr="00702B89">
        <w:rPr>
          <w:rFonts w:ascii="-webkit-standard" w:eastAsia="Times New Roman" w:hAnsi="-webkit-standard" w:cs="Times New Roman"/>
          <w:color w:val="000000"/>
          <w:lang w:eastAsia="en-GB"/>
        </w:rPr>
        <w:t xml:space="preserve"> E</w:t>
      </w:r>
      <w:r>
        <w:rPr>
          <w:rFonts w:ascii="-webkit-standard" w:eastAsia="Times New Roman" w:hAnsi="-webkit-standard" w:cs="Times New Roman"/>
          <w:color w:val="000000"/>
          <w:lang w:eastAsia="en-GB"/>
        </w:rPr>
        <w:t>.</w:t>
      </w:r>
      <w:r w:rsidRPr="00702B89">
        <w:rPr>
          <w:rFonts w:ascii="-webkit-standard" w:eastAsia="Times New Roman" w:hAnsi="-webkit-standard" w:cs="Times New Roman"/>
          <w:color w:val="000000"/>
          <w:lang w:eastAsia="en-GB"/>
        </w:rPr>
        <w:t xml:space="preserve"> (2017). Accessibility instruments in planning practice: Bridging the implementation gap. </w:t>
      </w:r>
      <w:r w:rsidRPr="00702B89">
        <w:rPr>
          <w:rFonts w:ascii="-webkit-standard" w:eastAsia="Times New Roman" w:hAnsi="-webkit-standard" w:cs="Times New Roman"/>
          <w:i/>
          <w:iCs/>
          <w:color w:val="000000"/>
          <w:lang w:eastAsia="en-GB"/>
        </w:rPr>
        <w:t>Transport Policy</w:t>
      </w:r>
      <w:r w:rsidRPr="00702B89">
        <w:rPr>
          <w:rFonts w:ascii="-webkit-standard" w:eastAsia="Times New Roman" w:hAnsi="-webkit-standard" w:cs="Times New Roman"/>
          <w:color w:val="000000"/>
          <w:lang w:eastAsia="en-GB"/>
        </w:rPr>
        <w:t>, 53, 135-145. </w:t>
      </w:r>
    </w:p>
    <w:p w14:paraId="647DC016" w14:textId="77777777" w:rsidR="00DD33E1" w:rsidRDefault="00DD33E1" w:rsidP="00DD33E1"/>
    <w:p w14:paraId="473F0A52" w14:textId="77777777" w:rsidR="00DD33E1" w:rsidRDefault="00DD33E1" w:rsidP="00DD33E1">
      <w:r>
        <w:t xml:space="preserve">Small, K. (2012). Valuation of travel time. </w:t>
      </w:r>
      <w:r w:rsidRPr="00B108D3">
        <w:rPr>
          <w:i/>
        </w:rPr>
        <w:t>Economics of Transportation</w:t>
      </w:r>
      <w:r>
        <w:t>, 1 (1-2), 2-14.</w:t>
      </w:r>
    </w:p>
    <w:p w14:paraId="587BCF11" w14:textId="77777777" w:rsidR="00DD33E1" w:rsidRDefault="00DD33E1" w:rsidP="00DD33E1"/>
    <w:p w14:paraId="20C3B2DE" w14:textId="77777777" w:rsidR="00DD33E1" w:rsidRDefault="00DD33E1" w:rsidP="00DD33E1">
      <w:pPr>
        <w:rPr>
          <w:lang w:val="en-US"/>
        </w:rPr>
      </w:pPr>
      <w:r>
        <w:rPr>
          <w:lang w:val="en-US"/>
        </w:rPr>
        <w:t xml:space="preserve">SNTS (2017). </w:t>
      </w:r>
      <w:r w:rsidRPr="00B108D3">
        <w:rPr>
          <w:i/>
          <w:lang w:val="en-US"/>
        </w:rPr>
        <w:t>Swedish National Travel Survey 2015-2016</w:t>
      </w:r>
      <w:r>
        <w:rPr>
          <w:lang w:val="en-US"/>
        </w:rPr>
        <w:t xml:space="preserve">. Stockholm: </w:t>
      </w:r>
      <w:proofErr w:type="spellStart"/>
      <w:r>
        <w:rPr>
          <w:lang w:val="en-US"/>
        </w:rPr>
        <w:t>Traficanalysis</w:t>
      </w:r>
      <w:proofErr w:type="spellEnd"/>
      <w:r>
        <w:rPr>
          <w:lang w:val="en-US"/>
        </w:rPr>
        <w:t>.</w:t>
      </w:r>
    </w:p>
    <w:p w14:paraId="0EB1B383" w14:textId="77777777" w:rsidR="00DD33E1" w:rsidRDefault="00DD33E1" w:rsidP="00DD33E1">
      <w:pPr>
        <w:rPr>
          <w:lang w:val="en-US"/>
        </w:rPr>
      </w:pPr>
    </w:p>
    <w:p w14:paraId="5240594B" w14:textId="2B333E9A" w:rsidR="00DD33E1" w:rsidRDefault="00DD33E1" w:rsidP="00DD33E1">
      <w:pPr>
        <w:rPr>
          <w:lang w:val="en-US"/>
        </w:rPr>
      </w:pPr>
      <w:r>
        <w:rPr>
          <w:lang w:val="en-US"/>
        </w:rPr>
        <w:t xml:space="preserve">Song, C. and Wei, C. (2018). Travel time use over five decades. </w:t>
      </w:r>
      <w:r w:rsidRPr="00B108D3">
        <w:rPr>
          <w:i/>
          <w:lang w:val="en-US"/>
        </w:rPr>
        <w:t>Transportation Research Part A</w:t>
      </w:r>
      <w:r>
        <w:rPr>
          <w:lang w:val="en-US"/>
        </w:rPr>
        <w:t>, 116, 73-96.</w:t>
      </w:r>
    </w:p>
    <w:p w14:paraId="67F55E21" w14:textId="41F1FBED" w:rsidR="007C3DE3" w:rsidRDefault="007C3DE3" w:rsidP="00DD33E1">
      <w:pPr>
        <w:rPr>
          <w:lang w:val="en-US"/>
        </w:rPr>
      </w:pPr>
    </w:p>
    <w:p w14:paraId="7B5A933A" w14:textId="6EFA3ADA" w:rsidR="007C3DE3" w:rsidRPr="007C3DE3" w:rsidRDefault="007C3DE3" w:rsidP="00DD33E1">
      <w:pPr>
        <w:rPr>
          <w:lang w:val="en-US"/>
        </w:rPr>
      </w:pPr>
      <w:r>
        <w:rPr>
          <w:lang w:val="en-US"/>
        </w:rPr>
        <w:t xml:space="preserve">Song, Z., Cao, M., Han, T. and Hickman, R. (2019). Public transport accessibility and housing value uplift: Evidence from the Docklands light railway in London. </w:t>
      </w:r>
      <w:r>
        <w:rPr>
          <w:i/>
          <w:iCs/>
          <w:lang w:val="en-US"/>
        </w:rPr>
        <w:t>Case Studies on Transport Policy,</w:t>
      </w:r>
      <w:r>
        <w:rPr>
          <w:lang w:val="en-US"/>
        </w:rPr>
        <w:t xml:space="preserve"> 7(3), 607-616.</w:t>
      </w:r>
    </w:p>
    <w:p w14:paraId="09AE6EA3" w14:textId="77777777" w:rsidR="00DD33E1" w:rsidRDefault="00DD33E1" w:rsidP="00DD33E1">
      <w:pPr>
        <w:rPr>
          <w:lang w:val="en-US"/>
        </w:rPr>
      </w:pPr>
    </w:p>
    <w:p w14:paraId="03D71545" w14:textId="77777777" w:rsidR="00DD33E1" w:rsidRDefault="00DD33E1" w:rsidP="00DD33E1">
      <w:proofErr w:type="spellStart"/>
      <w:r w:rsidRPr="005F361E">
        <w:t>Stopher</w:t>
      </w:r>
      <w:proofErr w:type="spellEnd"/>
      <w:r>
        <w:t xml:space="preserve">, P., </w:t>
      </w:r>
      <w:r w:rsidRPr="005F361E">
        <w:t>Ahmed</w:t>
      </w:r>
      <w:r>
        <w:t>, A. and</w:t>
      </w:r>
      <w:r w:rsidRPr="005F361E">
        <w:t> Liu</w:t>
      </w:r>
      <w:r>
        <w:t xml:space="preserve">, W. (2017). </w:t>
      </w:r>
      <w:r w:rsidRPr="005F361E">
        <w:t>Travel time budgets: new evidence from multi-year, multi-day data</w:t>
      </w:r>
      <w:r>
        <w:t xml:space="preserve">. </w:t>
      </w:r>
      <w:hyperlink r:id="rId5" w:tooltip="Transportation" w:history="1">
        <w:r w:rsidRPr="00B108D3">
          <w:rPr>
            <w:i/>
          </w:rPr>
          <w:t>Transportation</w:t>
        </w:r>
      </w:hyperlink>
      <w:r>
        <w:t>,</w:t>
      </w:r>
      <w:r w:rsidRPr="005F361E">
        <w:t xml:space="preserve"> 44</w:t>
      </w:r>
      <w:r>
        <w:t xml:space="preserve"> (5), </w:t>
      </w:r>
      <w:r w:rsidRPr="005F361E">
        <w:t>1069–1082</w:t>
      </w:r>
      <w:r>
        <w:t>.</w:t>
      </w:r>
      <w:r w:rsidRPr="005F361E">
        <w:t xml:space="preserve"> </w:t>
      </w:r>
    </w:p>
    <w:p w14:paraId="6D57B86D" w14:textId="77777777" w:rsidR="00DD33E1" w:rsidRDefault="00DD33E1" w:rsidP="00DD33E1"/>
    <w:p w14:paraId="594B2EEC" w14:textId="77777777" w:rsidR="00DD33E1" w:rsidRDefault="00DD33E1" w:rsidP="00DD33E1">
      <w:r>
        <w:t xml:space="preserve">TfL (2009). </w:t>
      </w:r>
      <w:r w:rsidRPr="00B108D3">
        <w:rPr>
          <w:i/>
        </w:rPr>
        <w:t>Vauxhall Nine Elms Battersea: Transport Study Report</w:t>
      </w:r>
      <w:r>
        <w:t>. Transport for London.</w:t>
      </w:r>
    </w:p>
    <w:p w14:paraId="3454015B" w14:textId="77777777" w:rsidR="00DD33E1" w:rsidRDefault="00DD33E1" w:rsidP="00DD33E1"/>
    <w:p w14:paraId="15C4CFEF" w14:textId="77777777" w:rsidR="00DD33E1" w:rsidRDefault="00DD33E1" w:rsidP="00DD33E1">
      <w:r>
        <w:t xml:space="preserve">TfL (2014). </w:t>
      </w:r>
      <w:r w:rsidRPr="00B108D3">
        <w:rPr>
          <w:i/>
        </w:rPr>
        <w:t>River Crossings Development Study, Task 126 Final Report</w:t>
      </w:r>
      <w:r>
        <w:t>. London: Transport for London.</w:t>
      </w:r>
    </w:p>
    <w:p w14:paraId="3A69CF6D" w14:textId="77777777" w:rsidR="00DD33E1" w:rsidRDefault="00DD33E1" w:rsidP="00DD33E1"/>
    <w:p w14:paraId="08476D01" w14:textId="77777777" w:rsidR="00DD33E1" w:rsidRDefault="00DD33E1" w:rsidP="00DD33E1">
      <w:r w:rsidRPr="0028417C">
        <w:t xml:space="preserve">TfL, 2017. </w:t>
      </w:r>
      <w:r w:rsidRPr="00B108D3">
        <w:rPr>
          <w:i/>
        </w:rPr>
        <w:t>Land Value Capture: Final Report</w:t>
      </w:r>
      <w:r w:rsidRPr="0028417C">
        <w:t xml:space="preserve">, Annex 7 Literature Review. </w:t>
      </w:r>
      <w:r>
        <w:t xml:space="preserve">London: </w:t>
      </w:r>
      <w:r w:rsidRPr="0028417C">
        <w:t>Transport for London</w:t>
      </w:r>
      <w:r>
        <w:t>.</w:t>
      </w:r>
    </w:p>
    <w:p w14:paraId="372D8220" w14:textId="77777777" w:rsidR="00DD33E1" w:rsidRDefault="00DD33E1" w:rsidP="00DD33E1"/>
    <w:p w14:paraId="67E5D965" w14:textId="4A2710EC" w:rsidR="00DD33E1" w:rsidRPr="005F361E" w:rsidRDefault="00DD33E1" w:rsidP="00DD33E1">
      <w:r>
        <w:t xml:space="preserve">Venter, C. (2016). </w:t>
      </w:r>
      <w:r w:rsidRPr="00B108D3">
        <w:rPr>
          <w:i/>
        </w:rPr>
        <w:t>Developing a Common Narrative on Urban Accessibility:</w:t>
      </w:r>
      <w:r w:rsidR="009A4B86">
        <w:rPr>
          <w:i/>
        </w:rPr>
        <w:t xml:space="preserve"> A</w:t>
      </w:r>
      <w:r w:rsidRPr="00B108D3">
        <w:rPr>
          <w:i/>
        </w:rPr>
        <w:t xml:space="preserve"> Transportation Perspective</w:t>
      </w:r>
      <w:r>
        <w:t>. Washington DC: The Brookings Institution.</w:t>
      </w:r>
    </w:p>
    <w:p w14:paraId="77D1D460" w14:textId="77777777" w:rsidR="00DD33E1" w:rsidRDefault="00DD33E1" w:rsidP="00DD33E1">
      <w:pPr>
        <w:rPr>
          <w:lang w:val="en-US"/>
        </w:rPr>
      </w:pPr>
    </w:p>
    <w:p w14:paraId="47CD5B2A" w14:textId="41722C3B" w:rsidR="00DD33E1" w:rsidRDefault="00DD33E1" w:rsidP="00DD33E1">
      <w:r>
        <w:t xml:space="preserve">van Wee, B., Rietveld, P. and </w:t>
      </w:r>
      <w:proofErr w:type="spellStart"/>
      <w:r>
        <w:t>Meurs</w:t>
      </w:r>
      <w:proofErr w:type="spellEnd"/>
      <w:r>
        <w:t>, H. (2006). Is average daily travel time expenditure constant? In search of explanations for a</w:t>
      </w:r>
      <w:r w:rsidR="00B108D3">
        <w:t>n</w:t>
      </w:r>
      <w:r>
        <w:t xml:space="preserve"> increase in average time. </w:t>
      </w:r>
      <w:r w:rsidRPr="00B108D3">
        <w:rPr>
          <w:i/>
        </w:rPr>
        <w:t>Journal of Transport Geography</w:t>
      </w:r>
      <w:r>
        <w:t>, 14(2), 109-122.</w:t>
      </w:r>
    </w:p>
    <w:p w14:paraId="2C2F3080" w14:textId="77777777" w:rsidR="00DD33E1" w:rsidRDefault="00DD33E1" w:rsidP="00DD33E1"/>
    <w:p w14:paraId="29647AF7" w14:textId="217AB907" w:rsidR="00DD33E1" w:rsidRDefault="00DD33E1" w:rsidP="00DD33E1">
      <w:r w:rsidRPr="009E6B2C">
        <w:t>Vickerman</w:t>
      </w:r>
      <w:r>
        <w:t xml:space="preserve">, R. (2017). </w:t>
      </w:r>
      <w:r w:rsidRPr="009E6B2C">
        <w:t>Beyond cost-benefit analysis: the search for a comprehensive evaluation of transport investment</w:t>
      </w:r>
      <w:r>
        <w:t xml:space="preserve">. </w:t>
      </w:r>
      <w:hyperlink r:id="rId6" w:tooltip="Go to Research in Transportation Economics on ScienceDirect" w:history="1">
        <w:r w:rsidRPr="00B108D3">
          <w:rPr>
            <w:i/>
          </w:rPr>
          <w:t>Research in Transportation Economics</w:t>
        </w:r>
      </w:hyperlink>
      <w:r w:rsidRPr="009E6B2C">
        <w:t>,</w:t>
      </w:r>
      <w:r>
        <w:t xml:space="preserve"> 63,</w:t>
      </w:r>
      <w:r w:rsidRPr="009E6B2C">
        <w:t xml:space="preserve"> 5-12</w:t>
      </w:r>
      <w:r>
        <w:t>.</w:t>
      </w:r>
    </w:p>
    <w:p w14:paraId="0ECE0EC1" w14:textId="77777777" w:rsidR="00DD33E1" w:rsidRDefault="00DD33E1" w:rsidP="00DD33E1"/>
    <w:p w14:paraId="1218BE5C" w14:textId="77777777" w:rsidR="00DD33E1" w:rsidRPr="009E6B2C" w:rsidRDefault="00DD33E1" w:rsidP="00DD33E1">
      <w:r>
        <w:t xml:space="preserve">WSP (2018). </w:t>
      </w:r>
      <w:r w:rsidRPr="00B108D3">
        <w:rPr>
          <w:i/>
        </w:rPr>
        <w:t>Latest Evidence on Induced Travel Demand: An Evidence Review</w:t>
      </w:r>
      <w:r>
        <w:t xml:space="preserve"> [for the Department for Transport]. Manchester: WSP and RAND Europe.</w:t>
      </w:r>
    </w:p>
    <w:p w14:paraId="5A4B8465" w14:textId="77777777" w:rsidR="00DD33E1" w:rsidRDefault="00DD33E1" w:rsidP="00DD33E1"/>
    <w:p w14:paraId="1E2300A4" w14:textId="77777777" w:rsidR="00DD33E1" w:rsidRDefault="00DD33E1" w:rsidP="00DD33E1"/>
    <w:p w14:paraId="3FDC6746" w14:textId="77777777" w:rsidR="00DD33E1" w:rsidRDefault="00DD33E1" w:rsidP="00DD33E1"/>
    <w:p w14:paraId="6A6405D9" w14:textId="77777777" w:rsidR="00F12E6A" w:rsidRDefault="00F12E6A" w:rsidP="00F12E6A">
      <w:pPr>
        <w:rPr>
          <w:rFonts w:ascii="Times New Roman" w:eastAsia="Times New Roman" w:hAnsi="Times New Roman" w:cs="Times New Roman"/>
        </w:rPr>
      </w:pPr>
    </w:p>
    <w:p w14:paraId="5F772CEB" w14:textId="7A032B67" w:rsidR="00DD33E1" w:rsidRDefault="00DD33E1" w:rsidP="00F12E6A"/>
    <w:p w14:paraId="66A50E2B" w14:textId="01F5F4F4" w:rsidR="00DD33E1" w:rsidRDefault="00DD33E1" w:rsidP="00F12E6A"/>
    <w:p w14:paraId="2778A73D" w14:textId="5AB49032" w:rsidR="006A6599" w:rsidRDefault="006A6599" w:rsidP="00F12E6A"/>
    <w:p w14:paraId="5C0CC17A" w14:textId="40B33597" w:rsidR="006A6599" w:rsidRPr="00DD33E1" w:rsidRDefault="006A6599" w:rsidP="00F12E6A"/>
    <w:p w14:paraId="1A413392" w14:textId="77777777" w:rsidR="00F12E6A" w:rsidRPr="00F12E6A" w:rsidRDefault="00F12E6A" w:rsidP="00F12E6A">
      <w:pPr>
        <w:rPr>
          <w:rFonts w:ascii="Times New Roman" w:eastAsia="Times New Roman" w:hAnsi="Times New Roman" w:cs="Times New Roman"/>
        </w:rPr>
      </w:pPr>
    </w:p>
    <w:p w14:paraId="1B22CD50" w14:textId="77777777" w:rsidR="00F12E6A" w:rsidRDefault="00F12E6A" w:rsidP="00E573A0"/>
    <w:sectPr w:rsidR="00F12E6A" w:rsidSect="007B18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1ef757c0">
    <w:altName w:val="Cambria"/>
    <w:panose1 w:val="020B0604020202020204"/>
    <w:charset w:val="00"/>
    <w:family w:val="roman"/>
    <w:notTrueType/>
    <w:pitch w:val="default"/>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FA"/>
    <w:rsid w:val="00003CBF"/>
    <w:rsid w:val="00006996"/>
    <w:rsid w:val="00006ECF"/>
    <w:rsid w:val="0001350C"/>
    <w:rsid w:val="0001533A"/>
    <w:rsid w:val="000221AD"/>
    <w:rsid w:val="000226D6"/>
    <w:rsid w:val="00030295"/>
    <w:rsid w:val="00043B09"/>
    <w:rsid w:val="000524A5"/>
    <w:rsid w:val="0006715D"/>
    <w:rsid w:val="00070D90"/>
    <w:rsid w:val="00087C2E"/>
    <w:rsid w:val="00094402"/>
    <w:rsid w:val="000B220F"/>
    <w:rsid w:val="000B445F"/>
    <w:rsid w:val="000B5903"/>
    <w:rsid w:val="000B6945"/>
    <w:rsid w:val="000D34AA"/>
    <w:rsid w:val="000D5514"/>
    <w:rsid w:val="000E04D9"/>
    <w:rsid w:val="000E16CC"/>
    <w:rsid w:val="000E1B28"/>
    <w:rsid w:val="000F3C1C"/>
    <w:rsid w:val="000F4A8A"/>
    <w:rsid w:val="00111C0B"/>
    <w:rsid w:val="00112C52"/>
    <w:rsid w:val="001201A1"/>
    <w:rsid w:val="00125DC1"/>
    <w:rsid w:val="00126BA3"/>
    <w:rsid w:val="0013006F"/>
    <w:rsid w:val="00146555"/>
    <w:rsid w:val="001548C1"/>
    <w:rsid w:val="00166ED9"/>
    <w:rsid w:val="00170959"/>
    <w:rsid w:val="0017387F"/>
    <w:rsid w:val="0017520F"/>
    <w:rsid w:val="00182BC5"/>
    <w:rsid w:val="00184F75"/>
    <w:rsid w:val="00193D22"/>
    <w:rsid w:val="00195367"/>
    <w:rsid w:val="00195EA1"/>
    <w:rsid w:val="001969C7"/>
    <w:rsid w:val="00197630"/>
    <w:rsid w:val="001B64FA"/>
    <w:rsid w:val="001B6671"/>
    <w:rsid w:val="001C51CA"/>
    <w:rsid w:val="001D24EC"/>
    <w:rsid w:val="001E0556"/>
    <w:rsid w:val="001E3C4E"/>
    <w:rsid w:val="00235900"/>
    <w:rsid w:val="002373CD"/>
    <w:rsid w:val="00244593"/>
    <w:rsid w:val="00254BB4"/>
    <w:rsid w:val="0026792F"/>
    <w:rsid w:val="00280B44"/>
    <w:rsid w:val="00280E60"/>
    <w:rsid w:val="00284B7C"/>
    <w:rsid w:val="00291531"/>
    <w:rsid w:val="002A453C"/>
    <w:rsid w:val="002C3DE4"/>
    <w:rsid w:val="002C589F"/>
    <w:rsid w:val="002E2EE9"/>
    <w:rsid w:val="002E526D"/>
    <w:rsid w:val="002E5B8D"/>
    <w:rsid w:val="002F182E"/>
    <w:rsid w:val="002F1AE1"/>
    <w:rsid w:val="002F2075"/>
    <w:rsid w:val="003020D6"/>
    <w:rsid w:val="00306F2C"/>
    <w:rsid w:val="0031326E"/>
    <w:rsid w:val="0031389E"/>
    <w:rsid w:val="00334E18"/>
    <w:rsid w:val="00343BF1"/>
    <w:rsid w:val="00346579"/>
    <w:rsid w:val="00381752"/>
    <w:rsid w:val="00385203"/>
    <w:rsid w:val="00395FA3"/>
    <w:rsid w:val="00397A1A"/>
    <w:rsid w:val="003A5859"/>
    <w:rsid w:val="003B073A"/>
    <w:rsid w:val="003B111A"/>
    <w:rsid w:val="003D10AE"/>
    <w:rsid w:val="003D52E1"/>
    <w:rsid w:val="003E57A0"/>
    <w:rsid w:val="0043323B"/>
    <w:rsid w:val="004533B8"/>
    <w:rsid w:val="004659D0"/>
    <w:rsid w:val="00466CF3"/>
    <w:rsid w:val="004A1235"/>
    <w:rsid w:val="004A33DF"/>
    <w:rsid w:val="004A3916"/>
    <w:rsid w:val="004A4E08"/>
    <w:rsid w:val="004B1C29"/>
    <w:rsid w:val="004C33A4"/>
    <w:rsid w:val="004C7E41"/>
    <w:rsid w:val="004D0B5A"/>
    <w:rsid w:val="004D638B"/>
    <w:rsid w:val="004D6525"/>
    <w:rsid w:val="004E1848"/>
    <w:rsid w:val="004E6BAB"/>
    <w:rsid w:val="004F5D73"/>
    <w:rsid w:val="00504606"/>
    <w:rsid w:val="00515E52"/>
    <w:rsid w:val="00520454"/>
    <w:rsid w:val="005357FC"/>
    <w:rsid w:val="005415CD"/>
    <w:rsid w:val="005424A9"/>
    <w:rsid w:val="00554F86"/>
    <w:rsid w:val="005707BF"/>
    <w:rsid w:val="00575C42"/>
    <w:rsid w:val="005838EE"/>
    <w:rsid w:val="005960D3"/>
    <w:rsid w:val="005A0820"/>
    <w:rsid w:val="005D413B"/>
    <w:rsid w:val="005D5A1D"/>
    <w:rsid w:val="005E7414"/>
    <w:rsid w:val="005F48E7"/>
    <w:rsid w:val="00617E6E"/>
    <w:rsid w:val="006233AF"/>
    <w:rsid w:val="006261BB"/>
    <w:rsid w:val="00642C7C"/>
    <w:rsid w:val="00660DAA"/>
    <w:rsid w:val="006663B4"/>
    <w:rsid w:val="0069195C"/>
    <w:rsid w:val="006A47A9"/>
    <w:rsid w:val="006A6599"/>
    <w:rsid w:val="006A6D04"/>
    <w:rsid w:val="006C0246"/>
    <w:rsid w:val="006E6413"/>
    <w:rsid w:val="006F682C"/>
    <w:rsid w:val="0070772E"/>
    <w:rsid w:val="00713F4F"/>
    <w:rsid w:val="00740C1C"/>
    <w:rsid w:val="00753BBF"/>
    <w:rsid w:val="00761E80"/>
    <w:rsid w:val="00762285"/>
    <w:rsid w:val="00765C8B"/>
    <w:rsid w:val="0078726E"/>
    <w:rsid w:val="00792759"/>
    <w:rsid w:val="007A563C"/>
    <w:rsid w:val="007A7A66"/>
    <w:rsid w:val="007B1823"/>
    <w:rsid w:val="007C3DE3"/>
    <w:rsid w:val="007D5A13"/>
    <w:rsid w:val="007E1D06"/>
    <w:rsid w:val="007E2A06"/>
    <w:rsid w:val="007F0591"/>
    <w:rsid w:val="007F377B"/>
    <w:rsid w:val="00810DD7"/>
    <w:rsid w:val="00831B67"/>
    <w:rsid w:val="00833C65"/>
    <w:rsid w:val="00835834"/>
    <w:rsid w:val="00836F21"/>
    <w:rsid w:val="00855616"/>
    <w:rsid w:val="00864E56"/>
    <w:rsid w:val="0087037B"/>
    <w:rsid w:val="008812F8"/>
    <w:rsid w:val="00881D0D"/>
    <w:rsid w:val="00884B1F"/>
    <w:rsid w:val="00886B55"/>
    <w:rsid w:val="00886E6C"/>
    <w:rsid w:val="008A15EE"/>
    <w:rsid w:val="008A6DF5"/>
    <w:rsid w:val="008C220B"/>
    <w:rsid w:val="008C579A"/>
    <w:rsid w:val="008C5843"/>
    <w:rsid w:val="008D0D0D"/>
    <w:rsid w:val="008E5F42"/>
    <w:rsid w:val="008E7F35"/>
    <w:rsid w:val="008F53B8"/>
    <w:rsid w:val="00913AF4"/>
    <w:rsid w:val="0092085C"/>
    <w:rsid w:val="00926B42"/>
    <w:rsid w:val="0093234F"/>
    <w:rsid w:val="00934373"/>
    <w:rsid w:val="00937BF0"/>
    <w:rsid w:val="0094022B"/>
    <w:rsid w:val="009439DE"/>
    <w:rsid w:val="0096031F"/>
    <w:rsid w:val="00966BEA"/>
    <w:rsid w:val="00980323"/>
    <w:rsid w:val="009902E1"/>
    <w:rsid w:val="00994829"/>
    <w:rsid w:val="009A4B86"/>
    <w:rsid w:val="009B7DA2"/>
    <w:rsid w:val="009C310B"/>
    <w:rsid w:val="009F43C0"/>
    <w:rsid w:val="009F4F68"/>
    <w:rsid w:val="00A20B4E"/>
    <w:rsid w:val="00A54D53"/>
    <w:rsid w:val="00A575DD"/>
    <w:rsid w:val="00A7730C"/>
    <w:rsid w:val="00A8429C"/>
    <w:rsid w:val="00A95896"/>
    <w:rsid w:val="00AA0C4C"/>
    <w:rsid w:val="00AB4BD7"/>
    <w:rsid w:val="00AC1428"/>
    <w:rsid w:val="00AC7D2D"/>
    <w:rsid w:val="00AF26FA"/>
    <w:rsid w:val="00AF2904"/>
    <w:rsid w:val="00B108D3"/>
    <w:rsid w:val="00B134EB"/>
    <w:rsid w:val="00B135B1"/>
    <w:rsid w:val="00B26CA1"/>
    <w:rsid w:val="00B2791B"/>
    <w:rsid w:val="00B31736"/>
    <w:rsid w:val="00B36705"/>
    <w:rsid w:val="00B5077F"/>
    <w:rsid w:val="00B52972"/>
    <w:rsid w:val="00B54ED5"/>
    <w:rsid w:val="00B64312"/>
    <w:rsid w:val="00B6545B"/>
    <w:rsid w:val="00B84E4D"/>
    <w:rsid w:val="00BA68E6"/>
    <w:rsid w:val="00BB0D3A"/>
    <w:rsid w:val="00BC0286"/>
    <w:rsid w:val="00BE08D4"/>
    <w:rsid w:val="00BF3E06"/>
    <w:rsid w:val="00BF5021"/>
    <w:rsid w:val="00C147EC"/>
    <w:rsid w:val="00C1617A"/>
    <w:rsid w:val="00C316F4"/>
    <w:rsid w:val="00C44E83"/>
    <w:rsid w:val="00C562B0"/>
    <w:rsid w:val="00C56B03"/>
    <w:rsid w:val="00C657AB"/>
    <w:rsid w:val="00C703BD"/>
    <w:rsid w:val="00C76373"/>
    <w:rsid w:val="00C870F6"/>
    <w:rsid w:val="00C90D6F"/>
    <w:rsid w:val="00C9275E"/>
    <w:rsid w:val="00C940C2"/>
    <w:rsid w:val="00C97C1F"/>
    <w:rsid w:val="00CA0E08"/>
    <w:rsid w:val="00CC7FD5"/>
    <w:rsid w:val="00CF4DF1"/>
    <w:rsid w:val="00CF7956"/>
    <w:rsid w:val="00D01ADD"/>
    <w:rsid w:val="00D23086"/>
    <w:rsid w:val="00D31DB6"/>
    <w:rsid w:val="00D43046"/>
    <w:rsid w:val="00D55179"/>
    <w:rsid w:val="00D62A81"/>
    <w:rsid w:val="00D63623"/>
    <w:rsid w:val="00D6727D"/>
    <w:rsid w:val="00D9493F"/>
    <w:rsid w:val="00D9786C"/>
    <w:rsid w:val="00DA1A1D"/>
    <w:rsid w:val="00DA25F7"/>
    <w:rsid w:val="00DB0552"/>
    <w:rsid w:val="00DC3FBF"/>
    <w:rsid w:val="00DC46DA"/>
    <w:rsid w:val="00DD2472"/>
    <w:rsid w:val="00DD33E1"/>
    <w:rsid w:val="00DD73DB"/>
    <w:rsid w:val="00DF66A5"/>
    <w:rsid w:val="00E013FF"/>
    <w:rsid w:val="00E05C5C"/>
    <w:rsid w:val="00E1501C"/>
    <w:rsid w:val="00E2258B"/>
    <w:rsid w:val="00E23F5E"/>
    <w:rsid w:val="00E37DBE"/>
    <w:rsid w:val="00E42274"/>
    <w:rsid w:val="00E554CB"/>
    <w:rsid w:val="00E573A0"/>
    <w:rsid w:val="00E7437D"/>
    <w:rsid w:val="00E818A3"/>
    <w:rsid w:val="00E826D2"/>
    <w:rsid w:val="00E86990"/>
    <w:rsid w:val="00ED67E9"/>
    <w:rsid w:val="00EE5298"/>
    <w:rsid w:val="00EE66FC"/>
    <w:rsid w:val="00F05C5F"/>
    <w:rsid w:val="00F12354"/>
    <w:rsid w:val="00F12E6A"/>
    <w:rsid w:val="00F1765E"/>
    <w:rsid w:val="00F304B7"/>
    <w:rsid w:val="00F379A4"/>
    <w:rsid w:val="00F413EB"/>
    <w:rsid w:val="00F52462"/>
    <w:rsid w:val="00F533DA"/>
    <w:rsid w:val="00F54DF8"/>
    <w:rsid w:val="00F8256F"/>
    <w:rsid w:val="00F855E8"/>
    <w:rsid w:val="00F95833"/>
    <w:rsid w:val="00F962A2"/>
    <w:rsid w:val="00FA265D"/>
    <w:rsid w:val="00FA3506"/>
    <w:rsid w:val="00FC1A56"/>
    <w:rsid w:val="00FE6F3A"/>
    <w:rsid w:val="00FF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C36ED"/>
  <w14:defaultImageDpi w14:val="300"/>
  <w15:docId w15:val="{1D446136-F932-D440-B487-DDF9A94A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67"/>
    <w:pPr>
      <w:ind w:left="720"/>
      <w:contextualSpacing/>
    </w:pPr>
  </w:style>
  <w:style w:type="character" w:customStyle="1" w:styleId="authors">
    <w:name w:val="authors"/>
    <w:basedOn w:val="DefaultParagraphFont"/>
    <w:rsid w:val="008D0D0D"/>
  </w:style>
  <w:style w:type="character" w:customStyle="1" w:styleId="date1">
    <w:name w:val="date1"/>
    <w:basedOn w:val="DefaultParagraphFont"/>
    <w:rsid w:val="008D0D0D"/>
  </w:style>
  <w:style w:type="character" w:customStyle="1" w:styleId="arttitle">
    <w:name w:val="art_title"/>
    <w:basedOn w:val="DefaultParagraphFont"/>
    <w:rsid w:val="008D0D0D"/>
  </w:style>
  <w:style w:type="character" w:customStyle="1" w:styleId="serialtitle">
    <w:name w:val="serial_title"/>
    <w:basedOn w:val="DefaultParagraphFont"/>
    <w:rsid w:val="008D0D0D"/>
  </w:style>
  <w:style w:type="character" w:customStyle="1" w:styleId="volumeissue">
    <w:name w:val="volume_issue"/>
    <w:basedOn w:val="DefaultParagraphFont"/>
    <w:rsid w:val="008D0D0D"/>
  </w:style>
  <w:style w:type="character" w:customStyle="1" w:styleId="pagerange">
    <w:name w:val="page_range"/>
    <w:basedOn w:val="DefaultParagraphFont"/>
    <w:rsid w:val="008D0D0D"/>
  </w:style>
  <w:style w:type="character" w:styleId="Hyperlink">
    <w:name w:val="Hyperlink"/>
    <w:basedOn w:val="DefaultParagraphFont"/>
    <w:uiPriority w:val="99"/>
    <w:unhideWhenUsed/>
    <w:rsid w:val="00EE5298"/>
    <w:rPr>
      <w:color w:val="0000FF" w:themeColor="hyperlink"/>
      <w:u w:val="single"/>
    </w:rPr>
  </w:style>
  <w:style w:type="character" w:styleId="UnresolvedMention">
    <w:name w:val="Unresolved Mention"/>
    <w:basedOn w:val="DefaultParagraphFont"/>
    <w:uiPriority w:val="99"/>
    <w:semiHidden/>
    <w:unhideWhenUsed/>
    <w:rsid w:val="00D62A81"/>
    <w:rPr>
      <w:color w:val="605E5C"/>
      <w:shd w:val="clear" w:color="auto" w:fill="E1DFDD"/>
    </w:rPr>
  </w:style>
  <w:style w:type="character" w:styleId="Strong">
    <w:name w:val="Strong"/>
    <w:basedOn w:val="DefaultParagraphFont"/>
    <w:uiPriority w:val="22"/>
    <w:qFormat/>
    <w:rsid w:val="00F12E6A"/>
    <w:rPr>
      <w:b/>
      <w:bCs/>
    </w:rPr>
  </w:style>
  <w:style w:type="character" w:customStyle="1" w:styleId="ref-overlay">
    <w:name w:val="ref-overlay"/>
    <w:basedOn w:val="DefaultParagraphFont"/>
    <w:rsid w:val="00DD33E1"/>
  </w:style>
  <w:style w:type="character" w:customStyle="1" w:styleId="hlfld-contribauthor">
    <w:name w:val="hlfld-contribauthor"/>
    <w:basedOn w:val="DefaultParagraphFont"/>
    <w:rsid w:val="00DD33E1"/>
  </w:style>
  <w:style w:type="character" w:customStyle="1" w:styleId="nlmgiven-names">
    <w:name w:val="nlm_given-names"/>
    <w:basedOn w:val="DefaultParagraphFont"/>
    <w:rsid w:val="00DD33E1"/>
  </w:style>
  <w:style w:type="character" w:customStyle="1" w:styleId="nlmyear">
    <w:name w:val="nlm_year"/>
    <w:basedOn w:val="DefaultParagraphFont"/>
    <w:rsid w:val="00DD33E1"/>
  </w:style>
  <w:style w:type="character" w:customStyle="1" w:styleId="nlmarticle-title">
    <w:name w:val="nlm_article-title"/>
    <w:basedOn w:val="DefaultParagraphFont"/>
    <w:rsid w:val="00DD33E1"/>
  </w:style>
  <w:style w:type="character" w:customStyle="1" w:styleId="nlmfpage">
    <w:name w:val="nlm_fpage"/>
    <w:basedOn w:val="DefaultParagraphFont"/>
    <w:rsid w:val="00DD33E1"/>
  </w:style>
  <w:style w:type="character" w:customStyle="1" w:styleId="nlmlpage">
    <w:name w:val="nlm_lpage"/>
    <w:basedOn w:val="DefaultParagraphFont"/>
    <w:rsid w:val="00DD33E1"/>
  </w:style>
  <w:style w:type="paragraph" w:styleId="BalloonText">
    <w:name w:val="Balloon Text"/>
    <w:basedOn w:val="Normal"/>
    <w:link w:val="BalloonTextChar"/>
    <w:uiPriority w:val="99"/>
    <w:semiHidden/>
    <w:unhideWhenUsed/>
    <w:rsid w:val="00761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E80"/>
    <w:rPr>
      <w:rFonts w:ascii="Times New Roman" w:hAnsi="Times New Roman" w:cs="Times New Roman"/>
      <w:sz w:val="18"/>
      <w:szCs w:val="18"/>
      <w:lang w:val="en-GB"/>
    </w:rPr>
  </w:style>
  <w:style w:type="paragraph" w:styleId="NormalWeb">
    <w:name w:val="Normal (Web)"/>
    <w:basedOn w:val="Normal"/>
    <w:uiPriority w:val="99"/>
    <w:semiHidden/>
    <w:unhideWhenUsed/>
    <w:rsid w:val="005D5A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73233">
      <w:bodyDiv w:val="1"/>
      <w:marLeft w:val="0"/>
      <w:marRight w:val="0"/>
      <w:marTop w:val="0"/>
      <w:marBottom w:val="0"/>
      <w:divBdr>
        <w:top w:val="none" w:sz="0" w:space="0" w:color="auto"/>
        <w:left w:val="none" w:sz="0" w:space="0" w:color="auto"/>
        <w:bottom w:val="none" w:sz="0" w:space="0" w:color="auto"/>
        <w:right w:val="none" w:sz="0" w:space="0" w:color="auto"/>
      </w:divBdr>
    </w:div>
    <w:div w:id="765349397">
      <w:bodyDiv w:val="1"/>
      <w:marLeft w:val="0"/>
      <w:marRight w:val="0"/>
      <w:marTop w:val="0"/>
      <w:marBottom w:val="0"/>
      <w:divBdr>
        <w:top w:val="none" w:sz="0" w:space="0" w:color="auto"/>
        <w:left w:val="none" w:sz="0" w:space="0" w:color="auto"/>
        <w:bottom w:val="none" w:sz="0" w:space="0" w:color="auto"/>
        <w:right w:val="none" w:sz="0" w:space="0" w:color="auto"/>
      </w:divBdr>
      <w:divsChild>
        <w:div w:id="255132862">
          <w:marLeft w:val="0"/>
          <w:marRight w:val="0"/>
          <w:marTop w:val="0"/>
          <w:marBottom w:val="0"/>
          <w:divBdr>
            <w:top w:val="none" w:sz="0" w:space="0" w:color="auto"/>
            <w:left w:val="none" w:sz="0" w:space="0" w:color="auto"/>
            <w:bottom w:val="none" w:sz="0" w:space="0" w:color="auto"/>
            <w:right w:val="none" w:sz="0" w:space="0" w:color="auto"/>
          </w:divBdr>
        </w:div>
        <w:div w:id="1684042704">
          <w:marLeft w:val="0"/>
          <w:marRight w:val="0"/>
          <w:marTop w:val="0"/>
          <w:marBottom w:val="0"/>
          <w:divBdr>
            <w:top w:val="none" w:sz="0" w:space="0" w:color="auto"/>
            <w:left w:val="none" w:sz="0" w:space="0" w:color="auto"/>
            <w:bottom w:val="none" w:sz="0" w:space="0" w:color="auto"/>
            <w:right w:val="none" w:sz="0" w:space="0" w:color="auto"/>
          </w:divBdr>
        </w:div>
      </w:divsChild>
    </w:div>
    <w:div w:id="793131525">
      <w:bodyDiv w:val="1"/>
      <w:marLeft w:val="0"/>
      <w:marRight w:val="0"/>
      <w:marTop w:val="0"/>
      <w:marBottom w:val="0"/>
      <w:divBdr>
        <w:top w:val="none" w:sz="0" w:space="0" w:color="auto"/>
        <w:left w:val="none" w:sz="0" w:space="0" w:color="auto"/>
        <w:bottom w:val="none" w:sz="0" w:space="0" w:color="auto"/>
        <w:right w:val="none" w:sz="0" w:space="0" w:color="auto"/>
      </w:divBdr>
    </w:div>
    <w:div w:id="903612416">
      <w:bodyDiv w:val="1"/>
      <w:marLeft w:val="0"/>
      <w:marRight w:val="0"/>
      <w:marTop w:val="0"/>
      <w:marBottom w:val="0"/>
      <w:divBdr>
        <w:top w:val="none" w:sz="0" w:space="0" w:color="auto"/>
        <w:left w:val="none" w:sz="0" w:space="0" w:color="auto"/>
        <w:bottom w:val="none" w:sz="0" w:space="0" w:color="auto"/>
        <w:right w:val="none" w:sz="0" w:space="0" w:color="auto"/>
      </w:divBdr>
    </w:div>
    <w:div w:id="1076710125">
      <w:bodyDiv w:val="1"/>
      <w:marLeft w:val="0"/>
      <w:marRight w:val="0"/>
      <w:marTop w:val="0"/>
      <w:marBottom w:val="0"/>
      <w:divBdr>
        <w:top w:val="none" w:sz="0" w:space="0" w:color="auto"/>
        <w:left w:val="none" w:sz="0" w:space="0" w:color="auto"/>
        <w:bottom w:val="none" w:sz="0" w:space="0" w:color="auto"/>
        <w:right w:val="none" w:sz="0" w:space="0" w:color="auto"/>
      </w:divBdr>
      <w:divsChild>
        <w:div w:id="1291128295">
          <w:marLeft w:val="0"/>
          <w:marRight w:val="0"/>
          <w:marTop w:val="0"/>
          <w:marBottom w:val="0"/>
          <w:divBdr>
            <w:top w:val="none" w:sz="0" w:space="0" w:color="auto"/>
            <w:left w:val="none" w:sz="0" w:space="0" w:color="auto"/>
            <w:bottom w:val="none" w:sz="0" w:space="0" w:color="auto"/>
            <w:right w:val="none" w:sz="0" w:space="0" w:color="auto"/>
          </w:divBdr>
        </w:div>
        <w:div w:id="1382287232">
          <w:marLeft w:val="0"/>
          <w:marRight w:val="0"/>
          <w:marTop w:val="0"/>
          <w:marBottom w:val="0"/>
          <w:divBdr>
            <w:top w:val="none" w:sz="0" w:space="0" w:color="auto"/>
            <w:left w:val="none" w:sz="0" w:space="0" w:color="auto"/>
            <w:bottom w:val="none" w:sz="0" w:space="0" w:color="auto"/>
            <w:right w:val="none" w:sz="0" w:space="0" w:color="auto"/>
          </w:divBdr>
        </w:div>
      </w:divsChild>
    </w:div>
    <w:div w:id="1524173784">
      <w:bodyDiv w:val="1"/>
      <w:marLeft w:val="0"/>
      <w:marRight w:val="0"/>
      <w:marTop w:val="0"/>
      <w:marBottom w:val="0"/>
      <w:divBdr>
        <w:top w:val="none" w:sz="0" w:space="0" w:color="auto"/>
        <w:left w:val="none" w:sz="0" w:space="0" w:color="auto"/>
        <w:bottom w:val="none" w:sz="0" w:space="0" w:color="auto"/>
        <w:right w:val="none" w:sz="0" w:space="0" w:color="auto"/>
      </w:divBdr>
      <w:divsChild>
        <w:div w:id="2110616144">
          <w:marLeft w:val="0"/>
          <w:marRight w:val="0"/>
          <w:marTop w:val="0"/>
          <w:marBottom w:val="0"/>
          <w:divBdr>
            <w:top w:val="none" w:sz="0" w:space="0" w:color="auto"/>
            <w:left w:val="none" w:sz="0" w:space="0" w:color="auto"/>
            <w:bottom w:val="none" w:sz="0" w:space="0" w:color="auto"/>
            <w:right w:val="none" w:sz="0" w:space="0" w:color="auto"/>
          </w:divBdr>
        </w:div>
        <w:div w:id="265042370">
          <w:marLeft w:val="0"/>
          <w:marRight w:val="0"/>
          <w:marTop w:val="0"/>
          <w:marBottom w:val="0"/>
          <w:divBdr>
            <w:top w:val="none" w:sz="0" w:space="0" w:color="auto"/>
            <w:left w:val="none" w:sz="0" w:space="0" w:color="auto"/>
            <w:bottom w:val="none" w:sz="0" w:space="0" w:color="auto"/>
            <w:right w:val="none" w:sz="0" w:space="0" w:color="auto"/>
          </w:divBdr>
        </w:div>
      </w:divsChild>
    </w:div>
    <w:div w:id="1623875484">
      <w:bodyDiv w:val="1"/>
      <w:marLeft w:val="0"/>
      <w:marRight w:val="0"/>
      <w:marTop w:val="0"/>
      <w:marBottom w:val="0"/>
      <w:divBdr>
        <w:top w:val="none" w:sz="0" w:space="0" w:color="auto"/>
        <w:left w:val="none" w:sz="0" w:space="0" w:color="auto"/>
        <w:bottom w:val="none" w:sz="0" w:space="0" w:color="auto"/>
        <w:right w:val="none" w:sz="0" w:space="0" w:color="auto"/>
      </w:divBdr>
      <w:divsChild>
        <w:div w:id="462164132">
          <w:marLeft w:val="0"/>
          <w:marRight w:val="0"/>
          <w:marTop w:val="0"/>
          <w:marBottom w:val="0"/>
          <w:divBdr>
            <w:top w:val="none" w:sz="0" w:space="0" w:color="auto"/>
            <w:left w:val="none" w:sz="0" w:space="0" w:color="auto"/>
            <w:bottom w:val="none" w:sz="0" w:space="0" w:color="auto"/>
            <w:right w:val="none" w:sz="0" w:space="0" w:color="auto"/>
          </w:divBdr>
          <w:divsChild>
            <w:div w:id="361783760">
              <w:marLeft w:val="0"/>
              <w:marRight w:val="0"/>
              <w:marTop w:val="0"/>
              <w:marBottom w:val="0"/>
              <w:divBdr>
                <w:top w:val="none" w:sz="0" w:space="0" w:color="auto"/>
                <w:left w:val="none" w:sz="0" w:space="0" w:color="auto"/>
                <w:bottom w:val="none" w:sz="0" w:space="0" w:color="auto"/>
                <w:right w:val="none" w:sz="0" w:space="0" w:color="auto"/>
              </w:divBdr>
              <w:divsChild>
                <w:div w:id="36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libproxy.ucl.ac.uk/science/journal/07398859" TargetMode="External"/><Relationship Id="rId5" Type="http://schemas.openxmlformats.org/officeDocument/2006/relationships/hyperlink" Target="https://link-springer-com.libproxy.ucl.ac.uk/journal/11116"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davidmetz/Desktop/NTS2018%20England%20workboo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Sheet1!$L$4</c:f>
              <c:strCache>
                <c:ptCount val="1"/>
                <c:pt idx="0">
                  <c:v>trips/10</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xVal>
            <c:numRef>
              <c:f>Sheet1!$K$5:$K$29</c:f>
              <c:numCache>
                <c:formatCode>General</c:formatCode>
                <c:ptCount val="25"/>
                <c:pt idx="0">
                  <c:v>1972</c:v>
                </c:pt>
                <c:pt idx="1">
                  <c:v>1975</c:v>
                </c:pt>
                <c:pt idx="2">
                  <c:v>1978</c:v>
                </c:pt>
                <c:pt idx="3">
                  <c:v>1985</c:v>
                </c:pt>
                <c:pt idx="4">
                  <c:v>1990</c:v>
                </c:pt>
                <c:pt idx="5">
                  <c:v>1993</c:v>
                </c:pt>
                <c:pt idx="6">
                  <c:v>1996</c:v>
                </c:pt>
                <c:pt idx="7">
                  <c:v>1999</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numCache>
            </c:numRef>
          </c:xVal>
          <c:yVal>
            <c:numRef>
              <c:f>Sheet1!$L$5:$L$29</c:f>
              <c:numCache>
                <c:formatCode>General</c:formatCode>
                <c:ptCount val="25"/>
                <c:pt idx="0">
                  <c:v>95.6</c:v>
                </c:pt>
                <c:pt idx="1">
                  <c:v>93.5</c:v>
                </c:pt>
                <c:pt idx="2">
                  <c:v>109.7</c:v>
                </c:pt>
                <c:pt idx="3">
                  <c:v>102.4</c:v>
                </c:pt>
                <c:pt idx="4">
                  <c:v>109.4</c:v>
                </c:pt>
                <c:pt idx="5">
                  <c:v>106</c:v>
                </c:pt>
                <c:pt idx="6">
                  <c:v>109.4</c:v>
                </c:pt>
                <c:pt idx="7">
                  <c:v>107.4</c:v>
                </c:pt>
                <c:pt idx="8">
                  <c:v>107.4</c:v>
                </c:pt>
                <c:pt idx="9">
                  <c:v>106</c:v>
                </c:pt>
                <c:pt idx="10">
                  <c:v>105.4</c:v>
                </c:pt>
                <c:pt idx="11">
                  <c:v>107</c:v>
                </c:pt>
                <c:pt idx="12">
                  <c:v>106.7</c:v>
                </c:pt>
                <c:pt idx="13">
                  <c:v>99.8</c:v>
                </c:pt>
                <c:pt idx="14">
                  <c:v>101.4</c:v>
                </c:pt>
                <c:pt idx="15">
                  <c:v>99.7</c:v>
                </c:pt>
                <c:pt idx="16">
                  <c:v>98.2</c:v>
                </c:pt>
                <c:pt idx="17">
                  <c:v>97.2</c:v>
                </c:pt>
                <c:pt idx="18">
                  <c:v>97.1</c:v>
                </c:pt>
                <c:pt idx="19">
                  <c:v>94.3</c:v>
                </c:pt>
                <c:pt idx="20">
                  <c:v>94.2</c:v>
                </c:pt>
                <c:pt idx="21">
                  <c:v>93.4</c:v>
                </c:pt>
                <c:pt idx="22">
                  <c:v>95.4</c:v>
                </c:pt>
                <c:pt idx="23">
                  <c:v>97.5</c:v>
                </c:pt>
                <c:pt idx="24">
                  <c:v>98.6</c:v>
                </c:pt>
              </c:numCache>
            </c:numRef>
          </c:yVal>
          <c:smooth val="0"/>
          <c:extLst>
            <c:ext xmlns:c16="http://schemas.microsoft.com/office/drawing/2014/chart" uri="{C3380CC4-5D6E-409C-BE32-E72D297353CC}">
              <c16:uniqueId val="{00000000-3E2E-6A48-8E7C-AE4A15AB4330}"/>
            </c:ext>
          </c:extLst>
        </c:ser>
        <c:ser>
          <c:idx val="1"/>
          <c:order val="1"/>
          <c:tx>
            <c:strRef>
              <c:f>Sheet1!$M$4</c:f>
              <c:strCache>
                <c:ptCount val="1"/>
                <c:pt idx="0">
                  <c:v>miles/10</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xVal>
            <c:numRef>
              <c:f>Sheet1!$K$5:$K$29</c:f>
              <c:numCache>
                <c:formatCode>General</c:formatCode>
                <c:ptCount val="25"/>
                <c:pt idx="0">
                  <c:v>1972</c:v>
                </c:pt>
                <c:pt idx="1">
                  <c:v>1975</c:v>
                </c:pt>
                <c:pt idx="2">
                  <c:v>1978</c:v>
                </c:pt>
                <c:pt idx="3">
                  <c:v>1985</c:v>
                </c:pt>
                <c:pt idx="4">
                  <c:v>1990</c:v>
                </c:pt>
                <c:pt idx="5">
                  <c:v>1993</c:v>
                </c:pt>
                <c:pt idx="6">
                  <c:v>1996</c:v>
                </c:pt>
                <c:pt idx="7">
                  <c:v>1999</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numCache>
            </c:numRef>
          </c:xVal>
          <c:yVal>
            <c:numRef>
              <c:f>Sheet1!$M$5:$M$29</c:f>
              <c:numCache>
                <c:formatCode>General</c:formatCode>
                <c:ptCount val="25"/>
                <c:pt idx="0">
                  <c:v>447.6</c:v>
                </c:pt>
                <c:pt idx="1">
                  <c:v>474</c:v>
                </c:pt>
                <c:pt idx="2">
                  <c:v>479.1</c:v>
                </c:pt>
                <c:pt idx="3">
                  <c:v>531.70000000000005</c:v>
                </c:pt>
                <c:pt idx="4">
                  <c:v>650.6</c:v>
                </c:pt>
                <c:pt idx="5">
                  <c:v>654</c:v>
                </c:pt>
                <c:pt idx="6">
                  <c:v>698.3</c:v>
                </c:pt>
                <c:pt idx="7">
                  <c:v>715.9</c:v>
                </c:pt>
                <c:pt idx="8">
                  <c:v>719.3</c:v>
                </c:pt>
                <c:pt idx="9">
                  <c:v>721.1</c:v>
                </c:pt>
                <c:pt idx="10">
                  <c:v>706</c:v>
                </c:pt>
                <c:pt idx="11">
                  <c:v>718.2</c:v>
                </c:pt>
                <c:pt idx="12">
                  <c:v>710.9</c:v>
                </c:pt>
                <c:pt idx="13">
                  <c:v>713.3</c:v>
                </c:pt>
                <c:pt idx="14">
                  <c:v>688.8</c:v>
                </c:pt>
                <c:pt idx="15">
                  <c:v>671.6</c:v>
                </c:pt>
                <c:pt idx="16">
                  <c:v>669.8</c:v>
                </c:pt>
                <c:pt idx="17">
                  <c:v>676.4</c:v>
                </c:pt>
                <c:pt idx="18">
                  <c:v>660.7</c:v>
                </c:pt>
                <c:pt idx="19">
                  <c:v>659.2</c:v>
                </c:pt>
                <c:pt idx="20">
                  <c:v>649.6</c:v>
                </c:pt>
                <c:pt idx="21">
                  <c:v>665.7</c:v>
                </c:pt>
                <c:pt idx="22">
                  <c:v>649.9</c:v>
                </c:pt>
                <c:pt idx="23">
                  <c:v>658</c:v>
                </c:pt>
                <c:pt idx="24">
                  <c:v>653</c:v>
                </c:pt>
              </c:numCache>
            </c:numRef>
          </c:yVal>
          <c:smooth val="0"/>
          <c:extLst>
            <c:ext xmlns:c16="http://schemas.microsoft.com/office/drawing/2014/chart" uri="{C3380CC4-5D6E-409C-BE32-E72D297353CC}">
              <c16:uniqueId val="{00000001-3E2E-6A48-8E7C-AE4A15AB4330}"/>
            </c:ext>
          </c:extLst>
        </c:ser>
        <c:ser>
          <c:idx val="2"/>
          <c:order val="2"/>
          <c:tx>
            <c:strRef>
              <c:f>Sheet1!$N$4</c:f>
              <c:strCache>
                <c:ptCount val="1"/>
                <c:pt idx="0">
                  <c:v>time hr</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xVal>
            <c:numRef>
              <c:f>Sheet1!$K$5:$K$29</c:f>
              <c:numCache>
                <c:formatCode>General</c:formatCode>
                <c:ptCount val="25"/>
                <c:pt idx="0">
                  <c:v>1972</c:v>
                </c:pt>
                <c:pt idx="1">
                  <c:v>1975</c:v>
                </c:pt>
                <c:pt idx="2">
                  <c:v>1978</c:v>
                </c:pt>
                <c:pt idx="3">
                  <c:v>1985</c:v>
                </c:pt>
                <c:pt idx="4">
                  <c:v>1990</c:v>
                </c:pt>
                <c:pt idx="5">
                  <c:v>1993</c:v>
                </c:pt>
                <c:pt idx="6">
                  <c:v>1996</c:v>
                </c:pt>
                <c:pt idx="7">
                  <c:v>1999</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numCache>
            </c:numRef>
          </c:xVal>
          <c:yVal>
            <c:numRef>
              <c:f>Sheet1!$N$5:$N$29</c:f>
              <c:numCache>
                <c:formatCode>General</c:formatCode>
                <c:ptCount val="25"/>
                <c:pt idx="0">
                  <c:v>353</c:v>
                </c:pt>
                <c:pt idx="1">
                  <c:v>330</c:v>
                </c:pt>
                <c:pt idx="2">
                  <c:v>377</c:v>
                </c:pt>
                <c:pt idx="3">
                  <c:v>337</c:v>
                </c:pt>
                <c:pt idx="4">
                  <c:v>373</c:v>
                </c:pt>
                <c:pt idx="5">
                  <c:v>365</c:v>
                </c:pt>
                <c:pt idx="6">
                  <c:v>372</c:v>
                </c:pt>
                <c:pt idx="7">
                  <c:v>380</c:v>
                </c:pt>
                <c:pt idx="8">
                  <c:v>390</c:v>
                </c:pt>
                <c:pt idx="9">
                  <c:v>389</c:v>
                </c:pt>
                <c:pt idx="10">
                  <c:v>388</c:v>
                </c:pt>
                <c:pt idx="11">
                  <c:v>393</c:v>
                </c:pt>
                <c:pt idx="12">
                  <c:v>392</c:v>
                </c:pt>
                <c:pt idx="13">
                  <c:v>384</c:v>
                </c:pt>
                <c:pt idx="14">
                  <c:v>381</c:v>
                </c:pt>
                <c:pt idx="15">
                  <c:v>379</c:v>
                </c:pt>
                <c:pt idx="16">
                  <c:v>373</c:v>
                </c:pt>
                <c:pt idx="17">
                  <c:v>368</c:v>
                </c:pt>
                <c:pt idx="18">
                  <c:v>365</c:v>
                </c:pt>
                <c:pt idx="19">
                  <c:v>368</c:v>
                </c:pt>
                <c:pt idx="20">
                  <c:v>365</c:v>
                </c:pt>
                <c:pt idx="21">
                  <c:v>372</c:v>
                </c:pt>
                <c:pt idx="22">
                  <c:v>367</c:v>
                </c:pt>
                <c:pt idx="23">
                  <c:v>377</c:v>
                </c:pt>
                <c:pt idx="24">
                  <c:v>377</c:v>
                </c:pt>
              </c:numCache>
            </c:numRef>
          </c:yVal>
          <c:smooth val="0"/>
          <c:extLst>
            <c:ext xmlns:c16="http://schemas.microsoft.com/office/drawing/2014/chart" uri="{C3380CC4-5D6E-409C-BE32-E72D297353CC}">
              <c16:uniqueId val="{00000002-3E2E-6A48-8E7C-AE4A15AB4330}"/>
            </c:ext>
          </c:extLst>
        </c:ser>
        <c:dLbls>
          <c:showLegendKey val="0"/>
          <c:showVal val="0"/>
          <c:showCatName val="0"/>
          <c:showSerName val="0"/>
          <c:showPercent val="0"/>
          <c:showBubbleSize val="0"/>
        </c:dLbls>
        <c:axId val="1434831743"/>
        <c:axId val="1434833423"/>
      </c:scatterChart>
      <c:valAx>
        <c:axId val="14348317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4833423"/>
        <c:crosses val="autoZero"/>
        <c:crossBetween val="midCat"/>
      </c:valAx>
      <c:valAx>
        <c:axId val="1434833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4831743"/>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7345</Words>
  <Characters>40182</Characters>
  <Application>Microsoft Office Word</Application>
  <DocSecurity>0</DocSecurity>
  <Lines>1607</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Metz</dc:creator>
  <cp:keywords/>
  <dc:description/>
  <cp:lastModifiedBy>David Metz</cp:lastModifiedBy>
  <cp:revision>3</cp:revision>
  <dcterms:created xsi:type="dcterms:W3CDTF">2021-01-08T10:37:00Z</dcterms:created>
  <dcterms:modified xsi:type="dcterms:W3CDTF">2021-01-08T11:00:00Z</dcterms:modified>
  <cp:category/>
</cp:coreProperties>
</file>